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21</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号）及省上相关规定，本会对四川航鑫律师事务所提交的《四川航鑫律师事务所律师服务收费标准》已审查完毕，相关内容符合相关规定，本会同意备案人的备案申请，该收费标准自备案之日起至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四川航鑫律师事务所律师服务收费标准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sz w:val="32"/>
          <w:szCs w:val="32"/>
        </w:rPr>
        <w:t>第三条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律师服务费是</w:t>
      </w:r>
      <w:r>
        <w:rPr>
          <w:rFonts w:ascii="Times New Roman" w:hAnsi="仿宋" w:eastAsia="仿宋" w:cs="Times New Roman"/>
          <w:color w:val="000000"/>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第四条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本所就下列委托事项收取律师服务费</w:t>
      </w:r>
      <w:r>
        <w:rPr>
          <w:rFonts w:ascii="Times New Roman" w:hAnsi="Times New Roman" w:eastAsia="仿宋" w:cs="Times New Roman"/>
          <w:color w:val="000000"/>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kern w:val="2"/>
          <w:sz w:val="32"/>
          <w:szCs w:val="32"/>
        </w:rPr>
        <w:t>第五条</w:t>
      </w:r>
      <w:r>
        <w:rPr>
          <w:rFonts w:ascii="Times New Roman" w:hAnsi="Times New Roman" w:eastAsia="仿宋" w:cs="Times New Roman"/>
          <w:color w:val="000000"/>
          <w:kern w:val="2"/>
          <w:sz w:val="32"/>
          <w:szCs w:val="32"/>
        </w:rPr>
        <w:t xml:space="preserve"> </w:t>
      </w:r>
      <w:r>
        <w:rPr>
          <w:rFonts w:ascii="Times New Roman" w:hAnsi="仿宋" w:eastAsia="仿宋" w:cs="Times New Roman"/>
          <w:color w:val="000000"/>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kern w:val="2"/>
          <w:sz w:val="32"/>
          <w:szCs w:val="32"/>
        </w:rPr>
      </w:pPr>
      <w:r>
        <w:rPr>
          <w:rFonts w:ascii="Times New Roman" w:hAnsi="仿宋" w:eastAsia="仿宋" w:cs="Times New Roman"/>
          <w:b/>
          <w:bCs/>
          <w:color w:val="000000"/>
          <w:kern w:val="2"/>
          <w:sz w:val="32"/>
          <w:szCs w:val="32"/>
        </w:rPr>
        <w:t>第六条</w:t>
      </w:r>
      <w:r>
        <w:rPr>
          <w:rFonts w:ascii="Times New Roman" w:hAnsi="Times New Roman" w:eastAsia="仿宋" w:cs="Times New Roman"/>
          <w:color w:val="000000"/>
          <w:kern w:val="2"/>
          <w:sz w:val="32"/>
          <w:szCs w:val="32"/>
        </w:rPr>
        <w:t xml:space="preserve"> </w:t>
      </w:r>
      <w:r>
        <w:rPr>
          <w:rFonts w:ascii="Times New Roman" w:hAnsi="仿宋" w:eastAsia="仿宋" w:cs="Times New Roman"/>
          <w:color w:val="000000"/>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color w:val="000000"/>
          <w:kern w:val="2"/>
          <w:sz w:val="32"/>
          <w:szCs w:val="32"/>
        </w:rPr>
        <w:t>3</w:t>
      </w:r>
      <w:r>
        <w:rPr>
          <w:rFonts w:ascii="Times New Roman" w:hAnsi="仿宋" w:eastAsia="仿宋" w:cs="Times New Roman"/>
          <w:color w:val="000000"/>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color w:val="000000"/>
          <w:kern w:val="2"/>
          <w:sz w:val="32"/>
          <w:szCs w:val="32"/>
        </w:rPr>
      </w:pPr>
      <w:r>
        <w:rPr>
          <w:rFonts w:ascii="Times New Roman" w:hAnsi="仿宋" w:eastAsia="仿宋" w:cs="Times New Roman"/>
          <w:color w:val="000000"/>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第七条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律师服务费由律师事务所依约定收取并据实开具律师服务费发票，</w:t>
      </w:r>
      <w:r>
        <w:rPr>
          <w:rFonts w:ascii="Times New Roman" w:hAnsi="仿宋" w:eastAsia="仿宋" w:cs="Times New Roman"/>
          <w:color w:val="000000"/>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第二章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第一节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第八条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第九条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（一）代书、起草、审查修改合同或者其他法律文书、律师函、律师见证、代为声明、参加谈判、会议、主持调解等，可按件收费，每件</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—10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（二）担任国家机关、企事业单位、其他组织以及自然人的常年法律顾问，可按年度计件收费，每年度</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—40</w:t>
      </w:r>
      <w:r>
        <w:rPr>
          <w:rFonts w:ascii="Times New Roman" w:hAnsi="仿宋" w:eastAsia="仿宋" w:cs="Times New Roman"/>
          <w:color w:val="000000"/>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（四）立法调研、起草或者修改法律法规、规范性文件、课题调研、清理规范性文件等，可按件收费，每件</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万</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选择计时收费的，可按每位律师每小时</w:t>
      </w:r>
      <w:r>
        <w:rPr>
          <w:rFonts w:ascii="Times New Roman" w:hAnsi="Times New Roman" w:eastAsia="仿宋" w:cs="Times New Roman"/>
          <w:color w:val="000000"/>
          <w:sz w:val="32"/>
          <w:szCs w:val="32"/>
        </w:rPr>
        <w:t>300</w:t>
      </w:r>
      <w:r>
        <w:rPr>
          <w:rFonts w:ascii="Times New Roman" w:hAnsi="仿宋" w:eastAsia="仿宋" w:cs="Times New Roman"/>
          <w:color w:val="000000"/>
          <w:sz w:val="32"/>
          <w:szCs w:val="32"/>
        </w:rPr>
        <w:t>元至</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color w:val="000000"/>
          <w:kern w:val="2"/>
          <w:sz w:val="32"/>
          <w:szCs w:val="32"/>
        </w:rPr>
      </w:pPr>
      <w:r>
        <w:rPr>
          <w:rFonts w:ascii="Times New Roman" w:hAnsi="仿宋" w:eastAsia="仿宋" w:cs="Times New Roman"/>
          <w:color w:val="000000"/>
          <w:sz w:val="32"/>
          <w:szCs w:val="32"/>
        </w:rPr>
        <w:t>计费工作时间是律师办理委托事项的有效工作时间，</w:t>
      </w:r>
      <w:r>
        <w:rPr>
          <w:rFonts w:ascii="Times New Roman" w:hAnsi="仿宋" w:eastAsia="仿宋" w:cs="Times New Roman"/>
          <w:color w:val="000000"/>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不涉及财产关系的法律事项选择按诉讼程序分阶段收费的，每个阶段可以在</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第二节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第十二条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color w:val="000000"/>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万元以下部分收费比例为</w:t>
      </w:r>
      <w:r>
        <w:rPr>
          <w:rFonts w:ascii="Times New Roman" w:hAnsi="Times New Roman" w:eastAsia="仿宋" w:cs="Times New Roman"/>
          <w:color w:val="000000"/>
          <w:sz w:val="32"/>
          <w:szCs w:val="32"/>
        </w:rPr>
        <w:t>6%-9%</w:t>
      </w:r>
      <w:r>
        <w:rPr>
          <w:rFonts w:ascii="Times New Roman" w:hAnsi="仿宋" w:eastAsia="仿宋" w:cs="Times New Roman"/>
          <w:color w:val="000000"/>
          <w:sz w:val="32"/>
          <w:szCs w:val="32"/>
        </w:rPr>
        <w:t>，最低不少于</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万元部分为</w:t>
      </w:r>
      <w:r>
        <w:rPr>
          <w:rFonts w:ascii="Times New Roman" w:hAnsi="Times New Roman" w:eastAsia="仿宋" w:cs="Times New Roman"/>
          <w:color w:val="000000"/>
          <w:sz w:val="32"/>
          <w:szCs w:val="32"/>
        </w:rPr>
        <w:t>4%-7%</w:t>
      </w:r>
      <w:r>
        <w:rPr>
          <w:rFonts w:ascii="Times New Roman" w:hAnsi="仿宋" w:eastAsia="仿宋" w:cs="Times New Roman"/>
          <w:color w:val="000000"/>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万元部分为</w:t>
      </w:r>
      <w:r>
        <w:rPr>
          <w:rFonts w:ascii="Times New Roman" w:hAnsi="Times New Roman" w:eastAsia="仿宋" w:cs="Times New Roman"/>
          <w:color w:val="000000"/>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万元以上部分，为</w:t>
      </w:r>
      <w:r>
        <w:rPr>
          <w:rFonts w:ascii="Times New Roman" w:hAnsi="Times New Roman" w:eastAsia="仿宋" w:cs="Times New Roman"/>
          <w:color w:val="000000"/>
          <w:sz w:val="32"/>
          <w:szCs w:val="32"/>
        </w:rPr>
        <w:t>1%-3%</w:t>
      </w:r>
      <w:r>
        <w:rPr>
          <w:rFonts w:ascii="Times New Roman" w:hAnsi="仿宋" w:eastAsia="仿宋" w:cs="Times New Roman"/>
          <w:color w:val="000000"/>
          <w:sz w:val="32"/>
          <w:szCs w:val="32"/>
        </w:rPr>
        <w:t>。</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的优惠。同时代理本诉、本请求和反诉、反请求案件的，反诉、反请求按标的额以民事诉讼案件一审阶段的收费标准下浮不超过</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的优惠酌减收费。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第十五条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单独承办的执行案件，根据执行标的额，按一审阶段标准收费；曾承办一审或二审的案件，可按一审阶段收费标准优惠</w:t>
      </w:r>
      <w:r>
        <w:rPr>
          <w:rFonts w:ascii="Times New Roman" w:hAnsi="Times New Roman" w:eastAsia="仿宋" w:cs="Times New Roman"/>
          <w:color w:val="000000"/>
          <w:sz w:val="32"/>
          <w:szCs w:val="32"/>
        </w:rPr>
        <w:t>5%-50%</w:t>
      </w:r>
      <w:r>
        <w:rPr>
          <w:rFonts w:ascii="Times New Roman" w:hAnsi="仿宋" w:eastAsia="仿宋" w:cs="Times New Roman"/>
          <w:color w:val="000000"/>
          <w:sz w:val="32"/>
          <w:szCs w:val="32"/>
        </w:rPr>
        <w:t>收费，代理执行案件也可采用风险代理或计时收费。</w:t>
      </w:r>
    </w:p>
    <w:p>
      <w:pPr>
        <w:pStyle w:val="6"/>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第三节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第十六条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（一）标的额不足人民币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6%-18%</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（二）标的额在人民币</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5%-15%</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（三）标的额在人民币</w:t>
      </w:r>
      <w:r>
        <w:rPr>
          <w:rFonts w:ascii="Times New Roman" w:hAnsi="Times New Roman" w:eastAsia="仿宋" w:cs="Times New Roman"/>
          <w:color w:val="000000"/>
          <w:sz w:val="32"/>
          <w:szCs w:val="32"/>
        </w:rPr>
        <w:t>500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4%-12%</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（四）标的额在人民币</w:t>
      </w:r>
      <w:r>
        <w:rPr>
          <w:rFonts w:ascii="Times New Roman" w:hAnsi="Times New Roman" w:eastAsia="仿宋" w:cs="Times New Roman"/>
          <w:color w:val="000000"/>
          <w:sz w:val="32"/>
          <w:szCs w:val="32"/>
        </w:rPr>
        <w:t>1000</w:t>
      </w:r>
      <w:r>
        <w:rPr>
          <w:rFonts w:ascii="Times New Roman" w:hAnsi="仿宋" w:eastAsia="仿宋" w:cs="Times New Roman"/>
          <w:color w:val="000000"/>
          <w:sz w:val="32"/>
          <w:szCs w:val="32"/>
        </w:rPr>
        <w:t>万元以上不足</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万元的部分，按</w:t>
      </w:r>
      <w:r>
        <w:rPr>
          <w:rFonts w:ascii="Times New Roman" w:hAnsi="Times New Roman" w:eastAsia="仿宋" w:cs="Times New Roman"/>
          <w:color w:val="000000"/>
          <w:sz w:val="32"/>
          <w:szCs w:val="32"/>
        </w:rPr>
        <w:t>3%-9%</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（五）标的额在人民币</w:t>
      </w:r>
      <w:r>
        <w:rPr>
          <w:rFonts w:ascii="Times New Roman" w:hAnsi="Times New Roman" w:eastAsia="仿宋" w:cs="Times New Roman"/>
          <w:color w:val="000000"/>
          <w:sz w:val="32"/>
          <w:szCs w:val="32"/>
        </w:rPr>
        <w:t>5000</w:t>
      </w:r>
      <w:r>
        <w:rPr>
          <w:rFonts w:ascii="Times New Roman" w:hAnsi="仿宋" w:eastAsia="仿宋" w:cs="Times New Roman"/>
          <w:color w:val="000000"/>
          <w:sz w:val="32"/>
          <w:szCs w:val="32"/>
        </w:rPr>
        <w:t>万元以上的部分，按不超过</w:t>
      </w:r>
      <w:r>
        <w:rPr>
          <w:rFonts w:ascii="Times New Roman" w:hAnsi="Times New Roman" w:eastAsia="仿宋" w:cs="Times New Roman"/>
          <w:color w:val="000000"/>
          <w:sz w:val="32"/>
          <w:szCs w:val="32"/>
        </w:rPr>
        <w:t>2%-6%</w:t>
      </w:r>
      <w:r>
        <w:rPr>
          <w:rFonts w:ascii="Times New Roman" w:hAnsi="仿宋" w:eastAsia="仿宋" w:cs="Times New Roman"/>
          <w:color w:val="000000"/>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color w:val="000000"/>
          <w:kern w:val="2"/>
          <w:sz w:val="32"/>
          <w:szCs w:val="32"/>
        </w:rPr>
      </w:pPr>
      <w:r>
        <w:rPr>
          <w:rFonts w:ascii="Times New Roman" w:hAnsi="仿宋" w:eastAsia="仿宋" w:cs="Times New Roman"/>
          <w:b/>
          <w:bCs/>
          <w:color w:val="000000"/>
          <w:sz w:val="32"/>
          <w:szCs w:val="32"/>
        </w:rPr>
        <w:t>第十七条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在订立风险代理合同过程中，律师或律师事务所应当按相关规定向委托人履行提示义务和告知义务</w:t>
      </w:r>
      <w:r>
        <w:rPr>
          <w:rFonts w:ascii="Times New Roman" w:hAnsi="仿宋" w:eastAsia="仿宋" w:cs="Times New Roman"/>
          <w:color w:val="000000"/>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color w:val="000000"/>
          <w:sz w:val="32"/>
          <w:szCs w:val="32"/>
        </w:rPr>
      </w:pPr>
      <w:r>
        <w:rPr>
          <w:rFonts w:ascii="Times New Roman" w:hAnsi="楷体" w:eastAsia="楷体" w:cs="Times New Roman"/>
          <w:b/>
          <w:bCs/>
          <w:color w:val="000000"/>
          <w:sz w:val="32"/>
          <w:szCs w:val="32"/>
        </w:rPr>
        <w:t>第四节</w:t>
      </w:r>
      <w:r>
        <w:rPr>
          <w:rFonts w:ascii="Times New Roman" w:hAnsi="Times New Roman" w:eastAsia="楷体" w:cs="Times New Roman"/>
          <w:b/>
          <w:bCs/>
          <w:color w:val="000000"/>
          <w:sz w:val="32"/>
          <w:szCs w:val="32"/>
        </w:rPr>
        <w:t xml:space="preserve"> </w:t>
      </w:r>
      <w:r>
        <w:rPr>
          <w:rFonts w:ascii="Times New Roman" w:hAnsi="楷体" w:eastAsia="楷体" w:cs="Times New Roman"/>
          <w:b/>
          <w:bCs/>
          <w:color w:val="000000"/>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第十八条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color w:val="000000"/>
          <w:sz w:val="32"/>
          <w:szCs w:val="32"/>
        </w:rPr>
      </w:pPr>
      <w:r>
        <w:rPr>
          <w:rFonts w:ascii="Times New Roman" w:hAnsi="仿宋" w:eastAsia="仿宋" w:cs="Times New Roman"/>
          <w:color w:val="000000"/>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第十九条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侦查阶段：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审查起诉阶段：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一审阶段：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二审阶段：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发回重审（一审阶段）：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发回重审（二审阶段）：</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代为提起刑事申诉：</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-20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再审案件（一审阶段）：</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9.</w:t>
      </w:r>
      <w:r>
        <w:rPr>
          <w:rFonts w:ascii="Times New Roman" w:hAnsi="仿宋" w:eastAsia="仿宋" w:cs="Times New Roman"/>
          <w:color w:val="000000"/>
          <w:sz w:val="32"/>
          <w:szCs w:val="32"/>
        </w:rPr>
        <w:t>再审案件（二审阶段）：</w:t>
      </w: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担任刑事案件自诉人、被害人的代理人：</w:t>
      </w: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-50</w:t>
      </w:r>
      <w:r>
        <w:rPr>
          <w:rFonts w:ascii="Times New Roman" w:hAnsi="仿宋" w:eastAsia="仿宋" w:cs="Times New Roman"/>
          <w:color w:val="000000"/>
          <w:sz w:val="32"/>
          <w:szCs w:val="32"/>
        </w:rPr>
        <w:t>万元</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第二十一条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代理国家赔偿案件可实行计件收费，每件收取</w:t>
      </w:r>
      <w:r>
        <w:rPr>
          <w:rFonts w:ascii="Times New Roman" w:hAnsi="Times New Roman" w:eastAsia="仿宋" w:cs="Times New Roman"/>
          <w:color w:val="000000"/>
          <w:sz w:val="32"/>
          <w:szCs w:val="32"/>
        </w:rPr>
        <w:t>3000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—20</w:t>
      </w:r>
      <w:r>
        <w:rPr>
          <w:rFonts w:ascii="Times New Roman" w:hAnsi="仿宋" w:eastAsia="仿宋" w:cs="Times New Roman"/>
          <w:color w:val="000000"/>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第二十二条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第三章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第二十三条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涉外（含涉港、澳、台）案件的收费标准，原则上按照本收费标准上浮</w:t>
      </w:r>
      <w:r>
        <w:rPr>
          <w:rFonts w:ascii="Times New Roman" w:hAnsi="Times New Roman" w:eastAsia="仿宋" w:cs="Times New Roman"/>
          <w:color w:val="000000"/>
          <w:sz w:val="32"/>
          <w:szCs w:val="32"/>
        </w:rPr>
        <w:t>100%</w:t>
      </w:r>
      <w:r>
        <w:rPr>
          <w:rFonts w:ascii="Times New Roman" w:hAnsi="仿宋" w:eastAsia="仿宋" w:cs="Times New Roman"/>
          <w:color w:val="000000"/>
          <w:sz w:val="32"/>
          <w:szCs w:val="32"/>
        </w:rPr>
        <w:t>执行。如果涉及到多语种法律服务的，可以在标准基础上再上浮不超过</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第二十五条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倍收费。下列案件为重大、疑难、复杂民事诉讼、仲裁案件：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ascii="Times New Roman" w:hAnsi="仿宋" w:eastAsia="仿宋" w:cs="Times New Roman"/>
          <w:color w:val="000000"/>
          <w:sz w:val="32"/>
          <w:szCs w:val="32"/>
        </w:rPr>
        <w:t>由中级以上人民法院受理一审的案件；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ascii="Times New Roman" w:hAnsi="仿宋" w:eastAsia="仿宋" w:cs="Times New Roman"/>
          <w:color w:val="000000"/>
          <w:sz w:val="32"/>
          <w:szCs w:val="32"/>
        </w:rPr>
        <w:t>当事人一方人数在</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人及</w:t>
      </w:r>
      <w:r>
        <w:rPr>
          <w:rFonts w:ascii="Times New Roman" w:hAnsi="Times New Roman" w:eastAsia="仿宋" w:cs="Times New Roman"/>
          <w:color w:val="000000"/>
          <w:sz w:val="32"/>
          <w:szCs w:val="32"/>
        </w:rPr>
        <w:t xml:space="preserve">3 </w:t>
      </w:r>
      <w:r>
        <w:rPr>
          <w:rFonts w:ascii="Times New Roman" w:hAnsi="仿宋" w:eastAsia="仿宋" w:cs="Times New Roman"/>
          <w:color w:val="000000"/>
          <w:sz w:val="32"/>
          <w:szCs w:val="32"/>
        </w:rPr>
        <w:t>人以上的共同诉讼案件；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ascii="Times New Roman" w:hAnsi="仿宋" w:eastAsia="仿宋" w:cs="Times New Roman"/>
          <w:color w:val="000000"/>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w:t>
      </w:r>
      <w:r>
        <w:rPr>
          <w:rFonts w:ascii="Times New Roman" w:hAnsi="仿宋" w:eastAsia="仿宋" w:cs="Times New Roman"/>
          <w:color w:val="000000"/>
          <w:sz w:val="32"/>
          <w:szCs w:val="32"/>
        </w:rPr>
        <w:t>取证困难的案件；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新类型案件；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涉及两个以上法律关系的案件；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w:t>
      </w:r>
      <w:r>
        <w:rPr>
          <w:rFonts w:ascii="Times New Roman" w:hAnsi="仿宋" w:eastAsia="仿宋" w:cs="Times New Roman"/>
          <w:color w:val="000000"/>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(8)</w:t>
      </w:r>
      <w:r>
        <w:rPr>
          <w:rFonts w:ascii="Times New Roman" w:hAnsi="仿宋" w:eastAsia="仿宋" w:cs="Times New Roman"/>
          <w:color w:val="000000"/>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第二十六条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代理民事申诉案件，按照代理民事诉讼案件按不超过一审阶段收费标准</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倍收费；重大、疑难、复杂及律师工作量大的民事申诉案件可以上浮不超过</w:t>
      </w:r>
      <w:r>
        <w:rPr>
          <w:rFonts w:ascii="Times New Roman" w:hAnsi="Times New Roman" w:eastAsia="仿宋" w:cs="Times New Roman"/>
          <w:color w:val="000000"/>
          <w:sz w:val="32"/>
          <w:szCs w:val="32"/>
        </w:rPr>
        <w:t>10</w:t>
      </w:r>
      <w:r>
        <w:rPr>
          <w:rFonts w:ascii="Times New Roman" w:hAnsi="仿宋" w:eastAsia="仿宋" w:cs="Times New Roman"/>
          <w:color w:val="000000"/>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第二十七条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单独承办执行案件，如执行难度大，执行程序复杂的重大执行案件，按不超过一审阶段收费标准</w:t>
      </w:r>
      <w:r>
        <w:rPr>
          <w:rFonts w:ascii="Times New Roman" w:hAnsi="Times New Roman" w:eastAsia="仿宋" w:cs="Times New Roman"/>
          <w:color w:val="000000"/>
          <w:sz w:val="32"/>
          <w:szCs w:val="32"/>
        </w:rPr>
        <w:t>5</w:t>
      </w:r>
      <w:r>
        <w:rPr>
          <w:rFonts w:ascii="Times New Roman" w:hAnsi="仿宋" w:eastAsia="仿宋" w:cs="Times New Roman"/>
          <w:color w:val="000000"/>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第二十八条</w:t>
      </w:r>
      <w:r>
        <w:rPr>
          <w:rFonts w:ascii="Times New Roman" w:hAnsi="Times New Roman" w:eastAsia="仿宋" w:cs="Times New Roman"/>
          <w:b/>
          <w:bCs/>
          <w:color w:val="000000"/>
          <w:sz w:val="32"/>
          <w:szCs w:val="32"/>
        </w:rPr>
        <w:t xml:space="preserve"> </w:t>
      </w:r>
      <w:r>
        <w:rPr>
          <w:rFonts w:ascii="Times New Roman" w:hAnsi="仿宋" w:eastAsia="仿宋" w:cs="Times New Roman"/>
          <w:color w:val="000000"/>
          <w:sz w:val="32"/>
          <w:szCs w:val="32"/>
        </w:rPr>
        <w:t>办理异地、重大、疑难、复杂、社会影响较大的刑事诉讼案件，可以在本收费标准中刑事收费标准基础</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倍之内</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含</w:t>
      </w:r>
      <w:r>
        <w:rPr>
          <w:rFonts w:ascii="Times New Roman" w:hAnsi="Times New Roman" w:eastAsia="仿宋" w:cs="Times New Roman"/>
          <w:color w:val="000000"/>
          <w:sz w:val="32"/>
          <w:szCs w:val="32"/>
        </w:rPr>
        <w:t>6</w:t>
      </w:r>
      <w:r>
        <w:rPr>
          <w:rFonts w:ascii="Times New Roman" w:hAnsi="仿宋" w:eastAsia="仿宋" w:cs="Times New Roman"/>
          <w:color w:val="000000"/>
          <w:sz w:val="32"/>
          <w:szCs w:val="32"/>
        </w:rPr>
        <w:t>倍</w:t>
      </w:r>
      <w:r>
        <w:rPr>
          <w:rFonts w:ascii="Times New Roman" w:hAnsi="Times New Roman" w:eastAsia="仿宋" w:cs="Times New Roman"/>
          <w:color w:val="000000"/>
          <w:sz w:val="32"/>
          <w:szCs w:val="32"/>
        </w:rPr>
        <w:t>)</w:t>
      </w:r>
      <w:r>
        <w:rPr>
          <w:rFonts w:ascii="Times New Roman" w:hAnsi="仿宋" w:eastAsia="仿宋" w:cs="Times New Roman"/>
          <w:color w:val="000000"/>
          <w:sz w:val="32"/>
          <w:szCs w:val="32"/>
        </w:rPr>
        <w:t>协商确定收费。</w:t>
      </w:r>
    </w:p>
    <w:p>
      <w:pPr>
        <w:spacing w:line="520" w:lineRule="exact"/>
        <w:ind w:firstLine="643" w:firstLineChars="200"/>
        <w:jc w:val="left"/>
        <w:rPr>
          <w:rFonts w:ascii="Times New Roman" w:hAnsi="Times New Roman" w:eastAsia="仿宋" w:cs="Times New Roman"/>
          <w:b/>
          <w:bCs/>
          <w:color w:val="000000"/>
          <w:sz w:val="32"/>
          <w:szCs w:val="32"/>
        </w:rPr>
      </w:pPr>
      <w:r>
        <w:rPr>
          <w:rFonts w:ascii="Times New Roman" w:hAnsi="仿宋" w:eastAsia="仿宋" w:cs="Times New Roman"/>
          <w:b/>
          <w:bCs/>
          <w:color w:val="000000"/>
          <w:sz w:val="32"/>
          <w:szCs w:val="32"/>
        </w:rPr>
        <w:t>第二十九条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color w:val="000000"/>
          <w:kern w:val="0"/>
          <w:sz w:val="32"/>
          <w:szCs w:val="32"/>
        </w:rPr>
        <w:t>50%</w:t>
      </w:r>
      <w:r>
        <w:rPr>
          <w:rFonts w:ascii="Times New Roman" w:hAnsi="仿宋" w:eastAsia="仿宋" w:cs="Times New Roman"/>
          <w:color w:val="000000"/>
          <w:kern w:val="0"/>
          <w:sz w:val="32"/>
          <w:szCs w:val="32"/>
        </w:rPr>
        <w:t>至</w:t>
      </w:r>
      <w:r>
        <w:rPr>
          <w:rFonts w:ascii="Times New Roman" w:hAnsi="Times New Roman" w:eastAsia="仿宋" w:cs="Times New Roman"/>
          <w:color w:val="000000"/>
          <w:kern w:val="0"/>
          <w:sz w:val="32"/>
          <w:szCs w:val="32"/>
        </w:rPr>
        <w:t>5</w:t>
      </w:r>
      <w:r>
        <w:rPr>
          <w:rFonts w:ascii="Times New Roman" w:hAnsi="仿宋" w:eastAsia="仿宋" w:cs="Times New Roman"/>
          <w:color w:val="000000"/>
          <w:kern w:val="0"/>
          <w:sz w:val="32"/>
          <w:szCs w:val="32"/>
        </w:rPr>
        <w:t>倍收费。</w:t>
      </w:r>
    </w:p>
    <w:p>
      <w:pPr>
        <w:widowControl/>
        <w:spacing w:line="520" w:lineRule="exact"/>
        <w:jc w:val="center"/>
        <w:rPr>
          <w:rFonts w:ascii="Times New Roman" w:hAnsi="Times New Roman" w:eastAsia="黑体" w:cs="Times New Roman"/>
          <w:color w:val="000000"/>
          <w:sz w:val="32"/>
          <w:szCs w:val="32"/>
        </w:rPr>
      </w:pPr>
      <w:r>
        <w:rPr>
          <w:rFonts w:ascii="Times New Roman" w:hAnsi="黑体" w:eastAsia="黑体" w:cs="Times New Roman"/>
          <w:bCs/>
          <w:color w:val="000000"/>
          <w:sz w:val="32"/>
          <w:szCs w:val="32"/>
        </w:rPr>
        <w:t>第四章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color w:val="000000"/>
          <w:sz w:val="32"/>
          <w:szCs w:val="32"/>
        </w:rPr>
      </w:pPr>
      <w:r>
        <w:rPr>
          <w:rFonts w:ascii="Times New Roman" w:hAnsi="仿宋" w:eastAsia="仿宋" w:cs="Times New Roman"/>
          <w:b/>
          <w:bCs/>
          <w:color w:val="000000"/>
          <w:sz w:val="32"/>
          <w:szCs w:val="32"/>
        </w:rPr>
        <w:t>第三十条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第三十一条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第三十二条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第三十三条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color w:val="000000"/>
          <w:sz w:val="32"/>
          <w:szCs w:val="32"/>
        </w:rPr>
      </w:pPr>
      <w:r>
        <w:rPr>
          <w:rFonts w:ascii="Times New Roman" w:hAnsi="仿宋" w:eastAsia="仿宋" w:cs="Times New Roman"/>
          <w:b/>
          <w:bCs/>
          <w:color w:val="000000"/>
          <w:sz w:val="32"/>
          <w:szCs w:val="32"/>
        </w:rPr>
        <w:t>第三十四条</w:t>
      </w:r>
      <w:r>
        <w:rPr>
          <w:rFonts w:ascii="Times New Roman" w:hAnsi="Times New Roman" w:eastAsia="仿宋" w:cs="Times New Roman"/>
          <w:color w:val="000000"/>
          <w:sz w:val="32"/>
          <w:szCs w:val="32"/>
        </w:rPr>
        <w:t xml:space="preserve"> </w:t>
      </w:r>
      <w:r>
        <w:rPr>
          <w:rFonts w:ascii="Times New Roman" w:hAnsi="仿宋" w:eastAsia="仿宋" w:cs="Times New Roman"/>
          <w:color w:val="000000"/>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第五章</w:t>
      </w:r>
      <w:r>
        <w:rPr>
          <w:rFonts w:ascii="Times New Roman" w:hAnsi="Times New Roman" w:eastAsia="黑体" w:cs="Times New Roman"/>
          <w:bCs/>
          <w:color w:val="000000"/>
          <w:sz w:val="32"/>
          <w:szCs w:val="32"/>
        </w:rPr>
        <w:t xml:space="preserve"> </w:t>
      </w:r>
      <w:r>
        <w:rPr>
          <w:rFonts w:ascii="Times New Roman" w:hAnsi="黑体" w:eastAsia="黑体" w:cs="Times New Roman"/>
          <w:bCs/>
          <w:color w:val="000000"/>
          <w:sz w:val="32"/>
          <w:szCs w:val="32"/>
        </w:rPr>
        <w:t>附则</w:t>
      </w:r>
    </w:p>
    <w:p>
      <w:pPr>
        <w:widowControl/>
        <w:spacing w:line="520" w:lineRule="exact"/>
        <w:ind w:firstLine="643" w:firstLineChars="200"/>
        <w:jc w:val="left"/>
        <w:rPr>
          <w:rFonts w:ascii="Times New Roman" w:hAnsi="Times New Roman" w:eastAsia="仿宋" w:cs="Times New Roman"/>
          <w:color w:val="000000"/>
          <w:kern w:val="0"/>
          <w:sz w:val="32"/>
          <w:szCs w:val="32"/>
        </w:rPr>
      </w:pPr>
      <w:r>
        <w:rPr>
          <w:rFonts w:ascii="Times New Roman" w:hAnsi="仿宋" w:eastAsia="仿宋" w:cs="Times New Roman"/>
          <w:b/>
          <w:bCs/>
          <w:color w:val="000000"/>
          <w:kern w:val="0"/>
          <w:sz w:val="32"/>
          <w:szCs w:val="32"/>
        </w:rPr>
        <w:t>第三十五条</w:t>
      </w:r>
      <w:r>
        <w:rPr>
          <w:rFonts w:ascii="Times New Roman" w:hAnsi="Times New Roman" w:eastAsia="仿宋" w:cs="Times New Roman"/>
          <w:color w:val="000000"/>
          <w:kern w:val="0"/>
          <w:sz w:val="32"/>
          <w:szCs w:val="32"/>
        </w:rPr>
        <w:t xml:space="preserve"> </w:t>
      </w:r>
      <w:r>
        <w:rPr>
          <w:rFonts w:ascii="Times New Roman" w:hAnsi="仿宋" w:eastAsia="仿宋" w:cs="Times New Roman"/>
          <w:color w:val="000000"/>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color w:val="000000"/>
          <w:kern w:val="0"/>
          <w:sz w:val="32"/>
          <w:szCs w:val="32"/>
        </w:rPr>
        <w:t>第三十六条</w:t>
      </w:r>
      <w:r>
        <w:rPr>
          <w:rFonts w:ascii="Times New Roman" w:hAnsi="Times New Roman" w:eastAsia="仿宋" w:cs="Times New Roman"/>
          <w:color w:val="000000"/>
          <w:kern w:val="0"/>
          <w:sz w:val="32"/>
          <w:szCs w:val="32"/>
        </w:rPr>
        <w:t xml:space="preserve"> </w:t>
      </w:r>
      <w:r>
        <w:rPr>
          <w:rFonts w:ascii="Times New Roman" w:hAnsi="仿宋" w:eastAsia="仿宋" w:cs="Times New Roman"/>
          <w:color w:val="000000"/>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12E34"/>
    <w:rsid w:val="00060B2C"/>
    <w:rsid w:val="00086D6F"/>
    <w:rsid w:val="000A5223"/>
    <w:rsid w:val="00150461"/>
    <w:rsid w:val="00163348"/>
    <w:rsid w:val="001702D6"/>
    <w:rsid w:val="00176683"/>
    <w:rsid w:val="001B2CA9"/>
    <w:rsid w:val="00251E08"/>
    <w:rsid w:val="002644D8"/>
    <w:rsid w:val="0026763C"/>
    <w:rsid w:val="00287CA0"/>
    <w:rsid w:val="002A714E"/>
    <w:rsid w:val="002A728B"/>
    <w:rsid w:val="002B64F3"/>
    <w:rsid w:val="002B66A4"/>
    <w:rsid w:val="002E0982"/>
    <w:rsid w:val="002F49BF"/>
    <w:rsid w:val="003517FF"/>
    <w:rsid w:val="003B49E0"/>
    <w:rsid w:val="003B4A86"/>
    <w:rsid w:val="00404C3D"/>
    <w:rsid w:val="004128C2"/>
    <w:rsid w:val="004C0498"/>
    <w:rsid w:val="004C268B"/>
    <w:rsid w:val="004D1774"/>
    <w:rsid w:val="004D70C4"/>
    <w:rsid w:val="005245C8"/>
    <w:rsid w:val="00557E26"/>
    <w:rsid w:val="00567584"/>
    <w:rsid w:val="00677DBB"/>
    <w:rsid w:val="006C311F"/>
    <w:rsid w:val="006C6CD7"/>
    <w:rsid w:val="006D6BB3"/>
    <w:rsid w:val="00751D1A"/>
    <w:rsid w:val="007752D3"/>
    <w:rsid w:val="007B2EEE"/>
    <w:rsid w:val="007D09B9"/>
    <w:rsid w:val="008542A3"/>
    <w:rsid w:val="00892619"/>
    <w:rsid w:val="008C65AC"/>
    <w:rsid w:val="00912D78"/>
    <w:rsid w:val="00915DD7"/>
    <w:rsid w:val="009928C2"/>
    <w:rsid w:val="009B0D09"/>
    <w:rsid w:val="009B2BF1"/>
    <w:rsid w:val="009C08AA"/>
    <w:rsid w:val="00A40DB8"/>
    <w:rsid w:val="00A5775E"/>
    <w:rsid w:val="00A75AA1"/>
    <w:rsid w:val="00B67D15"/>
    <w:rsid w:val="00B718AA"/>
    <w:rsid w:val="00BB26EC"/>
    <w:rsid w:val="00BF6BC4"/>
    <w:rsid w:val="00C31312"/>
    <w:rsid w:val="00C42A1D"/>
    <w:rsid w:val="00CB26F6"/>
    <w:rsid w:val="00CE1660"/>
    <w:rsid w:val="00D0276C"/>
    <w:rsid w:val="00D23FC9"/>
    <w:rsid w:val="00D246FF"/>
    <w:rsid w:val="00D40349"/>
    <w:rsid w:val="00D40EDD"/>
    <w:rsid w:val="00D94AA5"/>
    <w:rsid w:val="00DC11B8"/>
    <w:rsid w:val="00E53727"/>
    <w:rsid w:val="00E64635"/>
    <w:rsid w:val="00E7708B"/>
    <w:rsid w:val="00EA5D3A"/>
    <w:rsid w:val="00EF32BA"/>
    <w:rsid w:val="00F618B6"/>
    <w:rsid w:val="00F73074"/>
    <w:rsid w:val="00FB0721"/>
    <w:rsid w:val="00FE2E7F"/>
    <w:rsid w:val="396664A7"/>
    <w:rsid w:val="53992205"/>
    <w:rsid w:val="5CBF615D"/>
    <w:rsid w:val="5E7CB07C"/>
    <w:rsid w:val="6DEFEAF1"/>
    <w:rsid w:val="77337A87"/>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760</Words>
  <Characters>4333</Characters>
  <Lines>36</Lines>
  <Paragraphs>10</Paragraphs>
  <TotalTime>485</TotalTime>
  <ScaleCrop>false</ScaleCrop>
  <LinksUpToDate>false</LinksUpToDate>
  <CharactersWithSpaces>5083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2024-09-04T06:16:11Z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