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27</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及第（德阳）律师事务所提交的《四川及第（德阳）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四川及第（德阳）律师事务所律师服务收费标准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200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w:t>
      </w:r>
      <w:r>
        <w:rPr>
          <w:rFonts w:ascii="Times New Roman" w:hAnsi="仿宋" w:eastAsia="仿宋" w:cs="Times New Roman"/>
          <w:color w:val="000000"/>
          <w:sz w:val="32"/>
          <w:szCs w:val="32"/>
        </w:rPr>
        <w:t>可以给予下浮不超过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的优惠。同时代理本诉、本请求和反诉、反请求案件的，反诉、反请求按标的额以民事诉讼案件一审阶段的收费标准酌减收费，可以给予下浮不超过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的优惠</w:t>
      </w:r>
      <w:r>
        <w:rPr>
          <w:rFonts w:ascii="Times New Roman" w:hAnsi="Times New Roman" w:eastAsia="仿宋" w:cs="Times New Roman"/>
          <w:color w:val="000000"/>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第十五条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单独承办的执行案件，根据执行标的额，按一审阶段标准收费；曾承办一审或二审的案件，可按一审阶段收费标准优惠</w:t>
      </w:r>
      <w:r>
        <w:rPr>
          <w:rFonts w:ascii="Times New Roman" w:hAnsi="Times New Roman" w:eastAsia="仿宋" w:cs="Times New Roman"/>
          <w:color w:val="000000"/>
          <w:sz w:val="32"/>
          <w:szCs w:val="32"/>
        </w:rPr>
        <w:t>50%-80%</w:t>
      </w:r>
      <w:r>
        <w:rPr>
          <w:rFonts w:ascii="Times New Roman" w:hAnsi="仿宋" w:eastAsia="仿宋" w:cs="Times New Roman"/>
          <w:color w:val="000000"/>
          <w:sz w:val="32"/>
          <w:szCs w:val="32"/>
        </w:rPr>
        <w:t>收费，代理执行案件也可采用风险代理或计时收费</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不能采用风险代理的案件除外。</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第三节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（一）标的额不足人民币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8%-18%</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（二）标的额在人民币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7%-15%</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（三）标的额在人民币</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6%-12%</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（四）标的额在人民币</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5%-9%</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（五）标的额在人民币</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万元以上的部分，按</w:t>
      </w:r>
      <w:r>
        <w:rPr>
          <w:rFonts w:ascii="Times New Roman" w:hAnsi="Times New Roman" w:eastAsia="仿宋" w:cs="Times New Roman"/>
          <w:color w:val="000000"/>
          <w:sz w:val="32"/>
          <w:szCs w:val="32"/>
        </w:rPr>
        <w:t>4%-6%</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color w:val="000000"/>
          <w:kern w:val="2"/>
          <w:sz w:val="32"/>
          <w:szCs w:val="32"/>
        </w:rPr>
      </w:pPr>
      <w:r>
        <w:rPr>
          <w:rFonts w:ascii="Times New Roman" w:hAnsi="仿宋" w:eastAsia="仿宋" w:cs="Times New Roman"/>
          <w:b/>
          <w:bCs/>
          <w:color w:val="000000"/>
          <w:sz w:val="32"/>
          <w:szCs w:val="32"/>
        </w:rPr>
        <w:t>第十七条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在订立风险代理合同过程中，律师或律师事务所应当按相关规定向委托人履行提示义务和告知义务</w:t>
      </w:r>
      <w:r>
        <w:rPr>
          <w:rFonts w:ascii="Times New Roman" w:hAnsi="仿宋" w:eastAsia="仿宋" w:cs="Times New Roman"/>
          <w:color w:val="000000"/>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第四节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第十八条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color w:val="000000"/>
          <w:sz w:val="32"/>
          <w:szCs w:val="32"/>
        </w:rPr>
      </w:pPr>
      <w:r>
        <w:rPr>
          <w:rFonts w:ascii="Times New Roman" w:hAnsi="仿宋" w:eastAsia="仿宋" w:cs="Times New Roman"/>
          <w:color w:val="000000"/>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第十九条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侦查阶段：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审查起诉阶段：</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-1.5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一审阶段：</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二审阶段：</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发回重审（一审阶段）：</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发回重审（二审阶段）：</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代为提起刑事申诉：</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-1.2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再审案件（一审阶段）：</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9.</w:t>
      </w:r>
      <w:r>
        <w:rPr>
          <w:rFonts w:ascii="Times New Roman" w:hAnsi="仿宋" w:eastAsia="仿宋" w:cs="Times New Roman"/>
          <w:color w:val="000000"/>
          <w:sz w:val="32"/>
          <w:szCs w:val="32"/>
        </w:rPr>
        <w:t>再审案件（二审阶段）：</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担任刑事案件自诉人、被害人的代理人：</w:t>
      </w:r>
      <w:r>
        <w:rPr>
          <w:rFonts w:ascii="Times New Roman" w:hAnsi="Times New Roman" w:eastAsia="仿宋" w:cs="Times New Roman"/>
          <w:color w:val="000000"/>
          <w:sz w:val="32"/>
          <w:szCs w:val="32"/>
        </w:rPr>
        <w:t>0.5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-1.5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第二十一条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代理国家赔偿案件可实行计件收费，每件收取</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千元</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第二十二条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第三章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第二十三条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涉外（含涉港、澳、台）案件的收费标准，原则上按照本收费标准执行。如果涉及到多语种法律服务的，可以在标准基础上再上浮不超过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第二十五条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倍收费。下列案件为重大、疑难、复杂民事诉讼、仲裁案件：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由中级以上人民法院受理一审的案件；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当事人一方人数在</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人及</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人以上的共同诉讼案件；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取证困难的案件；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新类型案件；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涉及两个以上法律关系的案件；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代理民事申诉案件，按照代理民事诉讼案件按一审阶段收费标准收费；重大、疑难、复杂及律师工作量大的民事申诉案件可以上浮不超过</w:t>
      </w:r>
      <w:r>
        <w:rPr>
          <w:rFonts w:ascii="Times New Roman" w:hAnsi="Times New Roman" w:eastAsia="仿宋" w:cs="Times New Roman"/>
          <w:color w:val="000000"/>
          <w:sz w:val="32"/>
          <w:szCs w:val="32"/>
        </w:rPr>
        <w:t>1.5</w:t>
      </w:r>
      <w:r>
        <w:rPr>
          <w:rFonts w:ascii="Times New Roman" w:hAnsi="仿宋" w:eastAsia="仿宋" w:cs="Times New Roman"/>
          <w:color w:val="000000"/>
          <w:sz w:val="32"/>
          <w:szCs w:val="32"/>
        </w:rPr>
        <w:t>倍收费，亦可按本收费标准进行风险代理或者计时收费，不能采用风险代理代理的案件除外。</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第二十七条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单独承办执行案件，如执行难度大，执行程序复杂的重大执行案件，按一审阶段收费标准收费。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第二十八条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办理异地、重大、疑难、复杂、社会影响较大的刑事诉讼案件，可以在本收费标准中刑事收费标准基础</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倍之内</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含</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协商确定收费。</w:t>
      </w:r>
    </w:p>
    <w:p>
      <w:pPr>
        <w:spacing w:line="520" w:lineRule="exact"/>
        <w:ind w:firstLine="643" w:firstLineChars="200"/>
        <w:jc w:val="left"/>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第二十九条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color w:val="000000"/>
          <w:kern w:val="0"/>
          <w:sz w:val="32"/>
          <w:szCs w:val="32"/>
        </w:rPr>
        <w:t>50%</w:t>
      </w:r>
      <w:r>
        <w:rPr>
          <w:rFonts w:ascii="Times New Roman" w:hAnsi="仿宋" w:eastAsia="仿宋" w:cs="Times New Roman"/>
          <w:color w:val="000000"/>
          <w:kern w:val="0"/>
          <w:sz w:val="32"/>
          <w:szCs w:val="32"/>
        </w:rPr>
        <w:t>至</w:t>
      </w: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倍收费。</w:t>
      </w:r>
    </w:p>
    <w:p>
      <w:pPr>
        <w:widowControl/>
        <w:spacing w:line="520" w:lineRule="exact"/>
        <w:jc w:val="center"/>
        <w:rPr>
          <w:rFonts w:ascii="Times New Roman" w:hAnsi="Times New Roman" w:eastAsia="黑体" w:cs="Times New Roman"/>
          <w:color w:val="000000"/>
          <w:sz w:val="32"/>
          <w:szCs w:val="32"/>
        </w:rPr>
      </w:pPr>
      <w:r>
        <w:rPr>
          <w:rFonts w:ascii="Times New Roman" w:hAnsi="黑体" w:eastAsia="黑体" w:cs="Times New Roman"/>
          <w:bCs/>
          <w:color w:val="000000"/>
          <w:sz w:val="32"/>
          <w:szCs w:val="32"/>
        </w:rPr>
        <w:t>第四章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第三十条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第三十二条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第五章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附则</w:t>
      </w:r>
    </w:p>
    <w:p>
      <w:pPr>
        <w:widowControl/>
        <w:spacing w:line="520" w:lineRule="exact"/>
        <w:ind w:firstLine="643" w:firstLineChars="200"/>
        <w:jc w:val="left"/>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第三十五条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color w:val="000000"/>
          <w:kern w:val="0"/>
          <w:sz w:val="32"/>
          <w:szCs w:val="32"/>
        </w:rPr>
        <w:t>第三十六条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90B98"/>
    <w:rsid w:val="003B4A86"/>
    <w:rsid w:val="00404C3D"/>
    <w:rsid w:val="004128C2"/>
    <w:rsid w:val="004C268B"/>
    <w:rsid w:val="004D1774"/>
    <w:rsid w:val="004D70C4"/>
    <w:rsid w:val="004E25E2"/>
    <w:rsid w:val="005245C8"/>
    <w:rsid w:val="00557E26"/>
    <w:rsid w:val="00567584"/>
    <w:rsid w:val="00677DBB"/>
    <w:rsid w:val="006C311F"/>
    <w:rsid w:val="006C6CD7"/>
    <w:rsid w:val="006D6BB3"/>
    <w:rsid w:val="00751D1A"/>
    <w:rsid w:val="0075550F"/>
    <w:rsid w:val="007752D3"/>
    <w:rsid w:val="007B2EEE"/>
    <w:rsid w:val="007D09B9"/>
    <w:rsid w:val="007F264D"/>
    <w:rsid w:val="008542A3"/>
    <w:rsid w:val="00892619"/>
    <w:rsid w:val="008C65AC"/>
    <w:rsid w:val="00912D78"/>
    <w:rsid w:val="00915DD7"/>
    <w:rsid w:val="009928C2"/>
    <w:rsid w:val="009B0D09"/>
    <w:rsid w:val="009B2BF1"/>
    <w:rsid w:val="009C08AA"/>
    <w:rsid w:val="00A40DB8"/>
    <w:rsid w:val="00A5775E"/>
    <w:rsid w:val="00A75AA1"/>
    <w:rsid w:val="00B43A1D"/>
    <w:rsid w:val="00B718AA"/>
    <w:rsid w:val="00BB26EC"/>
    <w:rsid w:val="00BF6BC4"/>
    <w:rsid w:val="00C31312"/>
    <w:rsid w:val="00C42A1D"/>
    <w:rsid w:val="00C826C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179527E3"/>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766</Words>
  <Characters>4368</Characters>
  <Lines>36</Lines>
  <Paragraphs>10</Paragraphs>
  <TotalTime>475</TotalTime>
  <ScaleCrop>false</ScaleCrop>
  <LinksUpToDate>false</LinksUpToDate>
  <CharactersWithSpaces>5124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2024-09-04T06:08:54Z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