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Times New Roman" w:hAnsi="Times New Roman" w:eastAsia="方正小标宋简体" w:cs="Times New Roman"/>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w:t>
      </w:r>
      <w:r>
        <w:rPr>
          <w:rFonts w:ascii="Times New Roman" w:hAnsi="方正小标宋简体" w:eastAsia="方正小标宋简体" w:cs="Times New Roman"/>
          <w:color w:val="FF0000"/>
          <w:spacing w:val="100"/>
          <w:sz w:val="96"/>
          <w:szCs w:val="100"/>
        </w:rPr>
        <w:t>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号）及省上相关规定，本会对四川辑宁律师事务所提交的《四川辑宁律师事务所律师服务收费标准》已审查完毕，相关内容符合相关规定，本会同意备案人的备案申请，该收费标准自备案之日起至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四川辑宁律师事务所律师服务收费标准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（二）律师参与</w:t>
      </w:r>
      <w:r>
        <w:rPr>
          <w:rFonts w:ascii="Times New Roman" w:hAnsi="仿宋" w:eastAsia="仿宋" w:cs="Times New Roman"/>
          <w:sz w:val="32"/>
          <w:szCs w:val="32"/>
        </w:rPr>
        <w:t>重大项目商务谈判、规章制度的修订或提供改制、重组、收购、上市、项目投资或招商引资等专项法律事务。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（三）律师从事其它与法律服务及法律培训相关的事务。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w:t>
      </w:r>
      <w:r>
        <w:rPr>
          <w:rFonts w:ascii="Times New Roman" w:hAnsi="Times New Roman" w:eastAsia="仿宋" w:cs="Times New Roman"/>
          <w:kern w:val="2"/>
          <w:sz w:val="32"/>
          <w:szCs w:val="32"/>
        </w:rPr>
        <w:t>5</w:t>
      </w:r>
      <w:r>
        <w:rPr>
          <w:rFonts w:ascii="Times New Roman" w:hAnsi="仿宋" w:eastAsia="仿宋" w:cs="Times New Roman"/>
          <w:kern w:val="2"/>
          <w:sz w:val="32"/>
          <w:szCs w:val="32"/>
        </w:rPr>
        <w:t>个工作日内将代收款项足额与律所办理收款结算手续。</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收费标准</w:t>
      </w:r>
    </w:p>
    <w:p>
      <w:pPr>
        <w:pStyle w:val="6"/>
        <w:spacing w:before="0" w:beforeAutospacing="0" w:after="0" w:afterAutospacing="0" w:line="520" w:lineRule="exact"/>
        <w:jc w:val="center"/>
        <w:rPr>
          <w:rFonts w:ascii="Times New Roman" w:hAnsi="Times New Roman" w:eastAsia="楷体" w:cs="Times New Roman"/>
          <w:b/>
          <w:sz w:val="32"/>
          <w:szCs w:val="32"/>
        </w:rPr>
      </w:pPr>
      <w:r>
        <w:rPr>
          <w:rFonts w:ascii="Times New Roman" w:hAnsi="楷体" w:eastAsia="楷体" w:cs="Times New Roman"/>
          <w:b/>
          <w:sz w:val="32"/>
          <w:szCs w:val="32"/>
        </w:rPr>
        <w:t>第一节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tabs>
          <w:tab w:val="left" w:pos="1979"/>
          <w:tab w:val="center" w:pos="4369"/>
        </w:tabs>
        <w:spacing w:before="0" w:beforeAutospacing="0" w:after="0" w:afterAutospacing="0" w:line="520" w:lineRule="exact"/>
        <w:rPr>
          <w:rFonts w:ascii="Times New Roman" w:hAnsi="Times New Roman" w:eastAsia="楷体" w:cs="Times New Roman"/>
          <w:b/>
          <w:sz w:val="32"/>
          <w:szCs w:val="32"/>
        </w:rPr>
      </w:pPr>
      <w:r>
        <w:rPr>
          <w:rFonts w:ascii="Times New Roman" w:hAnsi="Times New Roman" w:eastAsia="仿宋" w:cs="Times New Roman"/>
          <w:bCs/>
          <w:sz w:val="32"/>
          <w:szCs w:val="32"/>
        </w:rPr>
        <w:tab/>
      </w:r>
      <w:r>
        <w:rPr>
          <w:rFonts w:ascii="Times New Roman" w:hAnsi="楷体" w:eastAsia="楷体" w:cs="Times New Roman"/>
          <w:b/>
          <w:sz w:val="32"/>
          <w:szCs w:val="32"/>
        </w:rPr>
        <w:t>第二节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w:t>
      </w:r>
      <w:r>
        <w:rPr>
          <w:rFonts w:ascii="Times New Roman" w:hAnsi="仿宋" w:eastAsia="仿宋" w:cs="Times New Roman"/>
          <w:b/>
          <w:bCs/>
          <w:sz w:val="32"/>
          <w:szCs w:val="32"/>
        </w:rPr>
        <w:t>每个独立的诉讼阶段中</w:t>
      </w:r>
      <w:r>
        <w:rPr>
          <w:rFonts w:ascii="Times New Roman" w:hAnsi="仿宋" w:eastAsia="仿宋" w:cs="Times New Roman"/>
          <w:sz w:val="32"/>
          <w:szCs w:val="32"/>
        </w:rPr>
        <w:t>，可按案件争议标的额金额的一定比例分段累计收费，具体如下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w:t>
      </w:r>
      <w:r>
        <w:rPr>
          <w:rFonts w:ascii="Times New Roman" w:hAnsi="仿宋" w:eastAsia="仿宋" w:cs="Times New Roman"/>
          <w:b/>
          <w:bCs/>
          <w:sz w:val="32"/>
          <w:szCs w:val="32"/>
        </w:rPr>
        <w:t>不超过</w:t>
      </w:r>
      <w:r>
        <w:rPr>
          <w:rFonts w:ascii="Times New Roman" w:hAnsi="Times New Roman" w:eastAsia="仿宋" w:cs="Times New Roman"/>
          <w:b/>
          <w:bCs/>
          <w:sz w:val="32"/>
          <w:szCs w:val="32"/>
        </w:rPr>
        <w:t>18%</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3000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万元部分收费比例</w:t>
      </w:r>
      <w:r>
        <w:rPr>
          <w:rFonts w:ascii="Times New Roman" w:hAnsi="仿宋" w:eastAsia="仿宋" w:cs="Times New Roman"/>
          <w:b/>
          <w:bCs/>
          <w:sz w:val="32"/>
          <w:szCs w:val="32"/>
        </w:rPr>
        <w:t>不超过</w:t>
      </w:r>
      <w:r>
        <w:rPr>
          <w:rFonts w:ascii="Times New Roman" w:hAnsi="Times New Roman" w:eastAsia="仿宋" w:cs="Times New Roman"/>
          <w:b/>
          <w:bCs/>
          <w:sz w:val="32"/>
          <w:szCs w:val="32"/>
        </w:rPr>
        <w:t>12%</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万元部分收费比例</w:t>
      </w:r>
      <w:r>
        <w:rPr>
          <w:rFonts w:ascii="Times New Roman" w:hAnsi="仿宋" w:eastAsia="仿宋" w:cs="Times New Roman"/>
          <w:b/>
          <w:bCs/>
          <w:sz w:val="32"/>
          <w:szCs w:val="32"/>
        </w:rPr>
        <w:t>不超过</w:t>
      </w:r>
      <w:r>
        <w:rPr>
          <w:rFonts w:ascii="Times New Roman" w:hAnsi="Times New Roman" w:eastAsia="仿宋" w:cs="Times New Roman"/>
          <w:b/>
          <w:bCs/>
          <w:sz w:val="32"/>
          <w:szCs w:val="32"/>
        </w:rPr>
        <w:t>15%</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6%</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15%</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5%</w:t>
      </w:r>
      <w:r>
        <w:rPr>
          <w:rFonts w:ascii="Times New Roman" w:hAnsi="仿宋" w:eastAsia="仿宋" w:cs="Times New Roman"/>
          <w:sz w:val="32"/>
          <w:szCs w:val="32"/>
        </w:rPr>
        <w:t>～</w:t>
      </w:r>
      <w:r>
        <w:rPr>
          <w:rFonts w:ascii="Times New Roman" w:hAnsi="Times New Roman" w:eastAsia="仿宋" w:cs="Times New Roman"/>
          <w:sz w:val="32"/>
          <w:szCs w:val="32"/>
        </w:rPr>
        <w:t>15%</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w:t>
      </w:r>
      <w:r>
        <w:rPr>
          <w:rFonts w:ascii="Times New Roman" w:hAnsi="仿宋" w:eastAsia="仿宋" w:cs="Times New Roman"/>
          <w:sz w:val="32"/>
          <w:szCs w:val="32"/>
        </w:rPr>
        <w:t>收费，代理执行案件也可采用风险代理（</w:t>
      </w:r>
      <w:r>
        <w:rPr>
          <w:rFonts w:ascii="Times New Roman" w:hAnsi="仿宋" w:eastAsia="仿宋" w:cs="Times New Roman"/>
          <w:b/>
          <w:bCs/>
          <w:sz w:val="32"/>
          <w:szCs w:val="32"/>
        </w:rPr>
        <w:t>不能代理的风险事项除外）</w:t>
      </w:r>
      <w:r>
        <w:rPr>
          <w:rFonts w:ascii="Times New Roman" w:hAnsi="仿宋" w:eastAsia="仿宋" w:cs="Times New Roman"/>
          <w:sz w:val="32"/>
          <w:szCs w:val="32"/>
        </w:rPr>
        <w:t>或计时收费。</w:t>
      </w:r>
    </w:p>
    <w:p>
      <w:pPr>
        <w:pStyle w:val="6"/>
        <w:spacing w:before="0" w:beforeAutospacing="0" w:after="0" w:afterAutospacing="0" w:line="520" w:lineRule="exact"/>
        <w:jc w:val="center"/>
        <w:rPr>
          <w:rFonts w:ascii="Times New Roman" w:hAnsi="Times New Roman" w:eastAsia="楷体" w:cs="Times New Roman"/>
          <w:bCs/>
          <w:sz w:val="32"/>
          <w:szCs w:val="32"/>
        </w:rPr>
      </w:pPr>
      <w:r>
        <w:rPr>
          <w:rFonts w:ascii="Times New Roman" w:hAnsi="楷体" w:eastAsia="楷体" w:cs="Times New Roman"/>
          <w:b/>
          <w:sz w:val="32"/>
          <w:szCs w:val="32"/>
        </w:rPr>
        <w:t>第三节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18%</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3000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15%</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12%</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9%</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w:t>
      </w:r>
      <w:r>
        <w:rPr>
          <w:rFonts w:ascii="Times New Roman" w:hAnsi="仿宋" w:eastAsia="仿宋" w:cs="Times New Roman"/>
          <w:b/>
          <w:bCs/>
          <w:sz w:val="32"/>
          <w:szCs w:val="32"/>
        </w:rPr>
        <w:t>，收费比例不超过</w:t>
      </w:r>
      <w:r>
        <w:rPr>
          <w:rFonts w:ascii="Times New Roman" w:hAnsi="Times New Roman" w:eastAsia="仿宋" w:cs="Times New Roman"/>
          <w:b/>
          <w:bCs/>
          <w:sz w:val="32"/>
          <w:szCs w:val="32"/>
        </w:rPr>
        <w:t>6%</w:t>
      </w:r>
      <w:r>
        <w:rPr>
          <w:rFonts w:ascii="Times New Roman" w:hAnsi="仿宋" w:eastAsia="仿宋" w:cs="Times New Roman"/>
          <w:b/>
          <w:bCs/>
          <w:sz w:val="32"/>
          <w:szCs w:val="32"/>
        </w:rPr>
        <w:t>，最低不少于</w:t>
      </w:r>
      <w:r>
        <w:rPr>
          <w:rFonts w:ascii="Times New Roman" w:hAnsi="Times New Roman" w:eastAsia="仿宋" w:cs="Times New Roman"/>
          <w:b/>
          <w:bCs/>
          <w:sz w:val="32"/>
          <w:szCs w:val="32"/>
        </w:rPr>
        <w:t>5000</w:t>
      </w:r>
      <w:r>
        <w:rPr>
          <w:rFonts w:ascii="Times New Roman" w:hAnsi="仿宋" w:eastAsia="仿宋" w:cs="Times New Roman"/>
          <w:b/>
          <w:bCs/>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Cs/>
          <w:sz w:val="32"/>
          <w:szCs w:val="32"/>
        </w:rPr>
      </w:pPr>
      <w:r>
        <w:rPr>
          <w:rFonts w:ascii="Times New Roman" w:hAnsi="楷体" w:eastAsia="楷体" w:cs="Times New Roman"/>
          <w:b/>
          <w:sz w:val="32"/>
          <w:szCs w:val="32"/>
        </w:rPr>
        <w:t>第四节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20%</w:t>
      </w:r>
      <w:r>
        <w:rPr>
          <w:rFonts w:ascii="Times New Roman" w:hAnsi="仿宋" w:eastAsia="仿宋" w:cs="Times New Roman"/>
          <w:sz w:val="32"/>
          <w:szCs w:val="32"/>
        </w:rPr>
        <w:t>～</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倍～</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倍～</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27728"/>
    <w:rsid w:val="00060B2C"/>
    <w:rsid w:val="00086D6F"/>
    <w:rsid w:val="000A5223"/>
    <w:rsid w:val="00150461"/>
    <w:rsid w:val="00163348"/>
    <w:rsid w:val="001702D6"/>
    <w:rsid w:val="00176683"/>
    <w:rsid w:val="001B2CA9"/>
    <w:rsid w:val="001E4EC6"/>
    <w:rsid w:val="002644D8"/>
    <w:rsid w:val="0026763C"/>
    <w:rsid w:val="00270814"/>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3067F"/>
    <w:rsid w:val="00677DBB"/>
    <w:rsid w:val="006C311F"/>
    <w:rsid w:val="006C6CD7"/>
    <w:rsid w:val="006D6BB3"/>
    <w:rsid w:val="00751D1A"/>
    <w:rsid w:val="007752D3"/>
    <w:rsid w:val="007B2EEE"/>
    <w:rsid w:val="007D09B9"/>
    <w:rsid w:val="00827EA3"/>
    <w:rsid w:val="008542A3"/>
    <w:rsid w:val="00892619"/>
    <w:rsid w:val="008C65AC"/>
    <w:rsid w:val="00912D78"/>
    <w:rsid w:val="00915DD7"/>
    <w:rsid w:val="009928C2"/>
    <w:rsid w:val="009B0D09"/>
    <w:rsid w:val="009B2BF1"/>
    <w:rsid w:val="009B3DCD"/>
    <w:rsid w:val="009C08AA"/>
    <w:rsid w:val="00A40DB8"/>
    <w:rsid w:val="00A5775E"/>
    <w:rsid w:val="00A75AA1"/>
    <w:rsid w:val="00B1127A"/>
    <w:rsid w:val="00B718AA"/>
    <w:rsid w:val="00BB26EC"/>
    <w:rsid w:val="00BF6BC4"/>
    <w:rsid w:val="00C31312"/>
    <w:rsid w:val="00C42A1D"/>
    <w:rsid w:val="00CB26F6"/>
    <w:rsid w:val="00CE1660"/>
    <w:rsid w:val="00CE76AD"/>
    <w:rsid w:val="00D0276C"/>
    <w:rsid w:val="00D23FC9"/>
    <w:rsid w:val="00D246FF"/>
    <w:rsid w:val="00D40349"/>
    <w:rsid w:val="00D94AA5"/>
    <w:rsid w:val="00DC11B8"/>
    <w:rsid w:val="00E53727"/>
    <w:rsid w:val="00E64635"/>
    <w:rsid w:val="00E7708B"/>
    <w:rsid w:val="00EA5D3A"/>
    <w:rsid w:val="00EF32BA"/>
    <w:rsid w:val="00F4514A"/>
    <w:rsid w:val="00F618B6"/>
    <w:rsid w:val="00F73074"/>
    <w:rsid w:val="00FB0721"/>
    <w:rsid w:val="00FE2E7F"/>
    <w:rsid w:val="396664A7"/>
    <w:rsid w:val="53992205"/>
    <w:rsid w:val="5CBF615D"/>
    <w:rsid w:val="5E7CB07C"/>
    <w:rsid w:val="6DEFEAF1"/>
    <w:rsid w:val="7E2D2167"/>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782</Words>
  <Characters>4458</Characters>
  <Lines>37</Lines>
  <Paragraphs>10</Paragraphs>
  <TotalTime>481</TotalTime>
  <ScaleCrop>false</ScaleCrop>
  <LinksUpToDate>false</LinksUpToDate>
  <CharactersWithSpaces>5230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2024-09-04T05:52:41Z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