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号）及省上相关规定，本会对四川三目律师事务所提交的《四川三目律师事务所律师服务收费标准》已审查完毕，相关内容符合相关规定，本会同意备案人的备案申请，该收费标准自备案之日起至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60" w:lineRule="exact"/>
        <w:ind w:firstLine="640" w:firstLineChars="200"/>
        <w:rPr>
          <w:rFonts w:ascii="Times New Roman" w:hAnsi="Times New Roman" w:eastAsia="仿宋" w:cs="Times New Roman"/>
          <w:sz w:val="32"/>
          <w:szCs w:val="32"/>
        </w:rPr>
      </w:pPr>
    </w:p>
    <w:p>
      <w:pPr>
        <w:spacing w:line="56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四川三目律师事务所律师服务收费标准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根据依据《中华人民共和国价格法》、《中华人民共和国律师法》、《关于进一步规范律师服务收费的意见》（司发通〔</w:t>
      </w:r>
      <w:r>
        <w:rPr>
          <w:rFonts w:ascii="Times New Roman" w:hAnsi="Times New Roman" w:eastAsia="仿宋" w:cs="Times New Roman"/>
          <w:sz w:val="32"/>
          <w:szCs w:val="32"/>
        </w:rPr>
        <w:t>2021</w:t>
      </w:r>
      <w:r>
        <w:rPr>
          <w:rFonts w:ascii="Times New Roman" w:hAnsi="仿宋" w:eastAsia="仿宋" w:cs="Times New Roman"/>
          <w:sz w:val="32"/>
          <w:szCs w:val="32"/>
        </w:rPr>
        <w:t>〕</w:t>
      </w:r>
      <w:r>
        <w:rPr>
          <w:rFonts w:ascii="Times New Roman" w:hAnsi="Times New Roman" w:eastAsia="仿宋" w:cs="Times New Roman"/>
          <w:sz w:val="32"/>
          <w:szCs w:val="32"/>
        </w:rPr>
        <w:t>87</w:t>
      </w:r>
      <w:r>
        <w:rPr>
          <w:rFonts w:ascii="Times New Roman" w:hAnsi="仿宋" w:eastAsia="仿宋" w:cs="Times New Roman"/>
          <w:sz w:val="32"/>
          <w:szCs w:val="32"/>
        </w:rPr>
        <w:t>号）等相关法律法规及规范性文件规定和要求，并结合本市、本区、本所实际情况制定本收费标准。</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6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6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6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6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6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元至</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3</w:t>
      </w:r>
      <w:r>
        <w:rPr>
          <w:rFonts w:ascii="Times New Roman" w:hAnsi="仿宋" w:eastAsia="仿宋" w:cs="Times New Roman"/>
          <w:sz w:val="32"/>
          <w:szCs w:val="32"/>
        </w:rPr>
        <w:t>万元至</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万至</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对于上述按件收费情形，可根据案件情况、复杂程度，合理调整。</w:t>
      </w:r>
    </w:p>
    <w:p>
      <w:pPr>
        <w:spacing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20000</w:t>
      </w:r>
      <w:r>
        <w:rPr>
          <w:rFonts w:ascii="Times New Roman" w:hAnsi="仿宋" w:eastAsia="仿宋" w:cs="Times New Roman"/>
          <w:sz w:val="32"/>
          <w:szCs w:val="32"/>
        </w:rPr>
        <w:t>元收取律师服务费，承办律师为贰人以上的，以各自的计费标准和计费工作时间分别计算。</w:t>
      </w:r>
    </w:p>
    <w:p>
      <w:pPr>
        <w:pStyle w:val="6"/>
        <w:spacing w:before="0" w:beforeAutospacing="0" w:after="0" w:afterAutospacing="0" w:line="56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5000</w:t>
      </w:r>
      <w:r>
        <w:rPr>
          <w:rFonts w:ascii="Times New Roman" w:hAnsi="仿宋" w:eastAsia="仿宋" w:cs="Times New Roman"/>
          <w:sz w:val="32"/>
          <w:szCs w:val="32"/>
        </w:rPr>
        <w:t>元至</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万元范围内收取律师服务费，可根据案件情况，合理调整。</w:t>
      </w:r>
    </w:p>
    <w:p>
      <w:pPr>
        <w:pStyle w:val="6"/>
        <w:spacing w:before="0" w:beforeAutospacing="0" w:after="0" w:afterAutospacing="0" w:line="56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8%</w:t>
      </w:r>
      <w:r>
        <w:rPr>
          <w:rFonts w:ascii="Times New Roman" w:hAnsi="仿宋" w:eastAsia="仿宋" w:cs="Times New Roman"/>
          <w:sz w:val="32"/>
          <w:szCs w:val="32"/>
        </w:rPr>
        <w:t>至</w:t>
      </w:r>
      <w:r>
        <w:rPr>
          <w:rFonts w:ascii="Times New Roman" w:hAnsi="Times New Roman" w:eastAsia="仿宋" w:cs="Times New Roman"/>
          <w:sz w:val="32"/>
          <w:szCs w:val="32"/>
        </w:rPr>
        <w:t>15%</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7%</w:t>
      </w:r>
      <w:r>
        <w:rPr>
          <w:rFonts w:ascii="Times New Roman" w:hAnsi="仿宋" w:eastAsia="仿宋" w:cs="Times New Roman"/>
          <w:sz w:val="32"/>
          <w:szCs w:val="32"/>
        </w:rPr>
        <w:t>至</w:t>
      </w:r>
      <w:r>
        <w:rPr>
          <w:rFonts w:ascii="Times New Roman" w:hAnsi="Times New Roman" w:eastAsia="仿宋" w:cs="Times New Roman"/>
          <w:sz w:val="32"/>
          <w:szCs w:val="32"/>
        </w:rPr>
        <w:t>9%</w:t>
      </w:r>
      <w:r>
        <w:rPr>
          <w:rFonts w:ascii="Times New Roman" w:hAnsi="仿宋" w:eastAsia="仿宋" w:cs="Times New Roman"/>
          <w:sz w:val="32"/>
          <w:szCs w:val="32"/>
        </w:rPr>
        <w:t>；</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5%</w:t>
      </w:r>
      <w:r>
        <w:rPr>
          <w:rFonts w:ascii="Times New Roman" w:hAnsi="仿宋" w:eastAsia="仿宋" w:cs="Times New Roman"/>
          <w:sz w:val="32"/>
          <w:szCs w:val="32"/>
        </w:rPr>
        <w:t>至</w:t>
      </w:r>
      <w:r>
        <w:rPr>
          <w:rFonts w:ascii="Times New Roman" w:hAnsi="Times New Roman" w:eastAsia="仿宋" w:cs="Times New Roman"/>
          <w:sz w:val="32"/>
          <w:szCs w:val="32"/>
        </w:rPr>
        <w:t>7%;</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3%</w:t>
      </w:r>
      <w:r>
        <w:rPr>
          <w:rFonts w:ascii="Times New Roman" w:hAnsi="仿宋" w:eastAsia="仿宋" w:cs="Times New Roman"/>
          <w:sz w:val="32"/>
          <w:szCs w:val="32"/>
        </w:rPr>
        <w:t>至</w:t>
      </w:r>
      <w:r>
        <w:rPr>
          <w:rFonts w:ascii="Times New Roman" w:hAnsi="Times New Roman" w:eastAsia="仿宋" w:cs="Times New Roman"/>
          <w:sz w:val="32"/>
          <w:szCs w:val="32"/>
        </w:rPr>
        <w:t>5%</w:t>
      </w:r>
      <w:r>
        <w:rPr>
          <w:rFonts w:ascii="Times New Roman" w:hAnsi="仿宋" w:eastAsia="仿宋" w:cs="Times New Roman"/>
          <w:sz w:val="32"/>
          <w:szCs w:val="32"/>
        </w:rPr>
        <w:t>。</w:t>
      </w:r>
    </w:p>
    <w:p>
      <w:pPr>
        <w:spacing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6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10%-18%</w:t>
      </w:r>
      <w:r>
        <w:rPr>
          <w:rFonts w:ascii="Times New Roman" w:hAnsi="仿宋" w:eastAsia="仿宋" w:cs="Times New Roman"/>
          <w:sz w:val="32"/>
          <w:szCs w:val="32"/>
        </w:rPr>
        <w:t>计算；</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8%-15%</w:t>
      </w:r>
      <w:r>
        <w:rPr>
          <w:rFonts w:ascii="Times New Roman" w:hAnsi="仿宋" w:eastAsia="仿宋" w:cs="Times New Roman"/>
          <w:sz w:val="32"/>
          <w:szCs w:val="32"/>
        </w:rPr>
        <w:t>计算；</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4%-9%</w:t>
      </w:r>
      <w:r>
        <w:rPr>
          <w:rFonts w:ascii="Times New Roman" w:hAnsi="仿宋" w:eastAsia="仿宋" w:cs="Times New Roman"/>
          <w:sz w:val="32"/>
          <w:szCs w:val="32"/>
        </w:rPr>
        <w:t>计算；</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3%-6%</w:t>
      </w:r>
      <w:r>
        <w:rPr>
          <w:rFonts w:ascii="Times New Roman" w:hAnsi="仿宋" w:eastAsia="仿宋" w:cs="Times New Roman"/>
          <w:sz w:val="32"/>
          <w:szCs w:val="32"/>
        </w:rPr>
        <w:t>计算。</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6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6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6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w:t>
      </w:r>
      <w:r>
        <w:rPr>
          <w:rFonts w:ascii="Times New Roman" w:hAnsi="Times New Roman" w:eastAsia="仿宋" w:cs="Times New Roman"/>
          <w:sz w:val="32"/>
          <w:szCs w:val="32"/>
        </w:rPr>
        <w:t>85%-90%</w:t>
      </w:r>
      <w:r>
        <w:rPr>
          <w:rFonts w:ascii="Times New Roman" w:hAnsi="仿宋" w:eastAsia="仿宋" w:cs="Times New Roman"/>
          <w:sz w:val="32"/>
          <w:szCs w:val="32"/>
        </w:rPr>
        <w:t>的优惠；</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2</w:t>
      </w:r>
      <w:r>
        <w:rPr>
          <w:rFonts w:ascii="Times New Roman" w:hAnsi="仿宋" w:eastAsia="仿宋" w:cs="Times New Roman"/>
          <w:sz w:val="32"/>
          <w:szCs w:val="32"/>
        </w:rPr>
        <w:t>至</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spacing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至</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选择计时收费的案件，如涉及涉外（含港、澳、台）案件及重大、疑难、复杂及律师工作量大的民事诉讼、仲裁案件，可以按计时收费标准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倍执行。经委托人同意，也可以由本所参照外国或港、澳、台地区律师事务所驻我国代表机构办理同类法律事务的收费标准，与委托人协商确定收费数额。</w:t>
      </w:r>
    </w:p>
    <w:p>
      <w:pPr>
        <w:spacing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代理民事申诉案件，可按照代理民事诉讼案件按一审阶段收费标准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单独承办执行案件，如执行难度大，执行程序复杂的重大执行案件，可按一审阶段收费标准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6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6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6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6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6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6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6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6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6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6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60" w:lineRule="exact"/>
        <w:ind w:firstLine="640" w:firstLineChars="200"/>
        <w:rPr>
          <w:rFonts w:ascii="Times New Roman" w:hAnsi="Times New Roman" w:eastAsia="仿宋" w:cs="Times New Roman"/>
          <w:sz w:val="32"/>
          <w:szCs w:val="32"/>
        </w:rPr>
      </w:pPr>
    </w:p>
    <w:p>
      <w:pPr>
        <w:spacing w:line="560" w:lineRule="exact"/>
        <w:rPr>
          <w:rFonts w:ascii="Times New Roman" w:hAnsi="Times New Roman" w:eastAsia="仿宋" w:cs="Times New Roman"/>
          <w:sz w:val="28"/>
          <w:szCs w:val="36"/>
        </w:rPr>
      </w:pPr>
      <w:bookmarkStart w:id="0" w:name="_GoBack"/>
      <w:bookmarkEnd w:id="0"/>
    </w:p>
    <w:p>
      <w:pPr>
        <w:spacing w:line="56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6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3C69FC"/>
    <w:rsid w:val="00404C3D"/>
    <w:rsid w:val="004128C2"/>
    <w:rsid w:val="00460E1D"/>
    <w:rsid w:val="004C268B"/>
    <w:rsid w:val="004D1774"/>
    <w:rsid w:val="004D70C4"/>
    <w:rsid w:val="005245C8"/>
    <w:rsid w:val="00557E26"/>
    <w:rsid w:val="00567584"/>
    <w:rsid w:val="00677DBB"/>
    <w:rsid w:val="006C311F"/>
    <w:rsid w:val="006C6CD7"/>
    <w:rsid w:val="006D6BB3"/>
    <w:rsid w:val="00751D1A"/>
    <w:rsid w:val="007752D3"/>
    <w:rsid w:val="00784941"/>
    <w:rsid w:val="007B2EEE"/>
    <w:rsid w:val="007D09B9"/>
    <w:rsid w:val="008542A3"/>
    <w:rsid w:val="00886351"/>
    <w:rsid w:val="00892619"/>
    <w:rsid w:val="008C65AC"/>
    <w:rsid w:val="00912D78"/>
    <w:rsid w:val="00915DD7"/>
    <w:rsid w:val="009928C2"/>
    <w:rsid w:val="009B0D09"/>
    <w:rsid w:val="009B2BF1"/>
    <w:rsid w:val="009C08AA"/>
    <w:rsid w:val="00A15D70"/>
    <w:rsid w:val="00A40DB8"/>
    <w:rsid w:val="00A5775E"/>
    <w:rsid w:val="00A75AA1"/>
    <w:rsid w:val="00B718AA"/>
    <w:rsid w:val="00BB26EC"/>
    <w:rsid w:val="00BF6BC4"/>
    <w:rsid w:val="00C31312"/>
    <w:rsid w:val="00C42A1D"/>
    <w:rsid w:val="00CB26F6"/>
    <w:rsid w:val="00CE1660"/>
    <w:rsid w:val="00D0276C"/>
    <w:rsid w:val="00D23FC9"/>
    <w:rsid w:val="00D246FF"/>
    <w:rsid w:val="00D40349"/>
    <w:rsid w:val="00D94AA5"/>
    <w:rsid w:val="00DC11B8"/>
    <w:rsid w:val="00E53727"/>
    <w:rsid w:val="00E64635"/>
    <w:rsid w:val="00E7708B"/>
    <w:rsid w:val="00EA5D3A"/>
    <w:rsid w:val="00EF32BA"/>
    <w:rsid w:val="00F572BD"/>
    <w:rsid w:val="00F618B6"/>
    <w:rsid w:val="00F73074"/>
    <w:rsid w:val="00FB0721"/>
    <w:rsid w:val="00FB554E"/>
    <w:rsid w:val="00FE2E7F"/>
    <w:rsid w:val="396664A7"/>
    <w:rsid w:val="53992205"/>
    <w:rsid w:val="5CBF615D"/>
    <w:rsid w:val="5E7CB07C"/>
    <w:rsid w:val="6DEFEAF1"/>
    <w:rsid w:val="7DAE62F9"/>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695</Words>
  <Characters>3965</Characters>
  <Lines>33</Lines>
  <Paragraphs>9</Paragraphs>
  <TotalTime>483</TotalTime>
  <ScaleCrop>false</ScaleCrop>
  <LinksUpToDate>false</LinksUpToDate>
  <CharactersWithSpaces>4651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2024-09-04T05:51:37Z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