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41</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号）及省上相关规定，本会对四川和创律师事务所提交的《四川和创律师事务所律师服务收费标准》已审查完毕，相关内容符合相关规定，本会同意备案人的备案申请，该收费标准自备案之日起至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四川和创律师事务所律师服务收费标准</w:t>
      </w:r>
    </w:p>
    <w:p>
      <w:pPr>
        <w:pStyle w:val="7"/>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w:t>
      </w:r>
      <w:r>
        <w:rPr>
          <w:rFonts w:ascii="Times New Roman" w:hAnsi="仿宋" w:eastAsia="仿宋" w:cs="Times New Roman"/>
          <w:kern w:val="2"/>
          <w:sz w:val="32"/>
          <w:szCs w:val="32"/>
        </w:rPr>
        <w:t>涉诉标的额等情况，根据本收费标准由委托人与律师自愿平等协商，公平合理</w:t>
      </w:r>
      <w:r>
        <w:rPr>
          <w:rFonts w:ascii="Times New Roman" w:hAnsi="仿宋" w:eastAsia="仿宋" w:cs="Times New Roman"/>
          <w:sz w:val="32"/>
          <w:szCs w:val="32"/>
        </w:rPr>
        <w:t>地确定收费方式和收费金额。</w:t>
      </w:r>
    </w:p>
    <w:p>
      <w:pPr>
        <w:pStyle w:val="7"/>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7"/>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公告费、查档费、保全费、翻译费、异地办案差旅费、跨境通讯费、专家论证费等费用，以及律师事务所代委托人支付的其他费用，不属于律师服务费，由委托人另行支付。</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7"/>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7"/>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7"/>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律师服务收费采用计件收费方式、计时收费方式、按标的额比例收费方式或其它收费方式，双方还可以采取风险代理收费方式，但国家有关部门禁止风险代理的案件除外。</w:t>
      </w:r>
    </w:p>
    <w:p>
      <w:pPr>
        <w:pStyle w:val="7"/>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7"/>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三个工作日内将律师服务费全额转入律师事务所账户。</w:t>
      </w:r>
    </w:p>
    <w:p>
      <w:pPr>
        <w:pStyle w:val="7"/>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7"/>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7"/>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元至</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1.5</w:t>
      </w:r>
      <w:r>
        <w:rPr>
          <w:rFonts w:ascii="Times New Roman" w:hAnsi="仿宋" w:eastAsia="仿宋" w:cs="Times New Roman"/>
          <w:sz w:val="32"/>
          <w:szCs w:val="32"/>
        </w:rPr>
        <w:t>万元至</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万元至</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2"/>
        <w:spacing w:after="0" w:line="520" w:lineRule="exact"/>
        <w:ind w:firstLine="640" w:firstLineChars="200"/>
        <w:rPr>
          <w:rFonts w:eastAsia="仿宋"/>
        </w:rPr>
      </w:pPr>
      <w:r>
        <w:rPr>
          <w:rFonts w:hAnsi="仿宋" w:eastAsia="仿宋"/>
        </w:rPr>
        <w:t>（四）立法调研、起草或者修改法律法规、规范性文件、课题调研、清理规范性文件等，可按件收费，每件</w:t>
      </w:r>
      <w:r>
        <w:rPr>
          <w:rFonts w:eastAsia="仿宋"/>
        </w:rPr>
        <w:t>2</w:t>
      </w:r>
      <w:r>
        <w:rPr>
          <w:rFonts w:hAnsi="仿宋" w:eastAsia="仿宋"/>
        </w:rPr>
        <w:t>万元至</w:t>
      </w:r>
      <w:r>
        <w:rPr>
          <w:rFonts w:eastAsia="仿宋"/>
        </w:rPr>
        <w:t>50</w:t>
      </w:r>
      <w:r>
        <w:rPr>
          <w:rFonts w:hAnsi="仿宋" w:eastAsia="仿宋"/>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选择计时收费的，根据律师执业年限，执业经验和法律事务复杂程度，可按每位律师每小时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w:t>
      </w:r>
    </w:p>
    <w:p>
      <w:pPr>
        <w:pStyle w:val="7"/>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2"/>
        <w:spacing w:after="0" w:line="520" w:lineRule="exact"/>
        <w:ind w:firstLine="640" w:firstLineChars="200"/>
        <w:rPr>
          <w:rFonts w:eastAsia="仿宋"/>
          <w:kern w:val="2"/>
        </w:rPr>
      </w:pPr>
      <w:r>
        <w:rPr>
          <w:rFonts w:hAnsi="仿宋" w:eastAsia="仿宋"/>
        </w:rPr>
        <w:t>法律咨询服务采取计时收费方式的，每位律师提供法律咨询服务时间不足半小时，按照半小时的标准收取律师服务费；超过半小时但不足</w:t>
      </w:r>
      <w:r>
        <w:rPr>
          <w:rFonts w:eastAsia="仿宋"/>
        </w:rPr>
        <w:t>1</w:t>
      </w:r>
      <w:r>
        <w:rPr>
          <w:rFonts w:hAnsi="仿宋" w:eastAsia="仿宋"/>
        </w:rPr>
        <w:t>小时的，按照</w:t>
      </w:r>
      <w:r>
        <w:rPr>
          <w:rFonts w:eastAsia="仿宋"/>
        </w:rPr>
        <w:t>1</w:t>
      </w:r>
      <w:r>
        <w:rPr>
          <w:rFonts w:hAnsi="仿宋" w:eastAsia="仿宋"/>
        </w:rPr>
        <w:t>个小时的标准收取律师服务费。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不涉及财产关系的法律事项选择按诉讼程序分阶段收费的，每件法律事项每个阶段可以在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元至</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7"/>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涉及财产关系的普通代理收费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本所代理涉及财产利益关系的法律事务，一审阶段按案件争议标的额金额的一定比例分段累计收费，具体如下：</w:t>
      </w:r>
    </w:p>
    <w:p>
      <w:pPr>
        <w:pStyle w:val="2"/>
        <w:spacing w:after="0" w:line="520" w:lineRule="exact"/>
        <w:ind w:firstLine="640" w:firstLineChars="200"/>
        <w:rPr>
          <w:rFonts w:eastAsia="仿宋"/>
        </w:rPr>
      </w:pPr>
      <w:r>
        <w:rPr>
          <w:rFonts w:hAnsi="仿宋" w:eastAsia="仿宋"/>
        </w:rPr>
        <w:t>（一）</w:t>
      </w:r>
      <w:r>
        <w:rPr>
          <w:rFonts w:eastAsia="仿宋"/>
        </w:rPr>
        <w:t>100</w:t>
      </w:r>
      <w:r>
        <w:rPr>
          <w:rFonts w:hAnsi="仿宋" w:eastAsia="仿宋"/>
        </w:rPr>
        <w:t>万元以下部分收费比例为</w:t>
      </w:r>
      <w:r>
        <w:rPr>
          <w:rFonts w:eastAsia="仿宋"/>
        </w:rPr>
        <w:t>3%-10%</w:t>
      </w:r>
      <w:r>
        <w:rPr>
          <w:rFonts w:hAnsi="仿宋" w:eastAsia="仿宋"/>
        </w:rPr>
        <w:t>，由经办律师与当事人根据案件情况具体确定，但最低收费不少于</w:t>
      </w:r>
      <w:r>
        <w:rPr>
          <w:rFonts w:eastAsia="仿宋"/>
        </w:rPr>
        <w:t>5000</w:t>
      </w:r>
      <w:r>
        <w:rPr>
          <w:rFonts w:hAnsi="仿宋" w:eastAsia="仿宋"/>
        </w:rPr>
        <w:t>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1.5%-5%</w:t>
      </w:r>
      <w:r>
        <w:rPr>
          <w:rFonts w:ascii="Times New Roman" w:hAnsi="仿宋" w:eastAsia="仿宋" w:cs="Times New Roman"/>
          <w:sz w:val="32"/>
          <w:szCs w:val="32"/>
        </w:rPr>
        <w:t>；</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1%-3%;</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0.5%-2%</w:t>
      </w:r>
      <w:r>
        <w:rPr>
          <w:rFonts w:ascii="Times New Roman" w:hAnsi="仿宋" w:eastAsia="仿宋" w:cs="Times New Roman"/>
          <w:sz w:val="32"/>
          <w:szCs w:val="32"/>
        </w:rPr>
        <w:t>。</w:t>
      </w:r>
    </w:p>
    <w:p>
      <w:pPr>
        <w:pStyle w:val="2"/>
        <w:spacing w:after="0" w:line="520" w:lineRule="exact"/>
        <w:ind w:firstLine="640" w:firstLineChars="200"/>
        <w:rPr>
          <w:rFonts w:eastAsia="仿宋"/>
        </w:rPr>
      </w:pPr>
      <w:r>
        <w:rPr>
          <w:rFonts w:hAnsi="仿宋" w:eastAsia="仿宋"/>
        </w:rPr>
        <w:t>律师事务所代理常年法律顾问单位的案件，律师服务费可以酌情下浮，但不得低于本条第一款收费标准的</w:t>
      </w:r>
      <w:r>
        <w:rPr>
          <w:rFonts w:eastAsia="仿宋"/>
        </w:rPr>
        <w:t>50%</w:t>
      </w:r>
      <w:r>
        <w:rPr>
          <w:rFonts w:hAnsi="仿宋" w:eastAsia="仿宋"/>
        </w:rPr>
        <w:t>且每件不低于</w:t>
      </w:r>
      <w:r>
        <w:rPr>
          <w:rFonts w:eastAsia="仿宋"/>
        </w:rPr>
        <w:t>3000</w:t>
      </w:r>
      <w:r>
        <w:rPr>
          <w:rFonts w:hAnsi="仿宋" w:eastAsia="仿宋"/>
        </w:rPr>
        <w:t>元。</w:t>
      </w:r>
    </w:p>
    <w:p>
      <w:pPr>
        <w:pStyle w:val="2"/>
        <w:numPr>
          <w:ilvl w:val="0"/>
          <w:numId w:val="1"/>
        </w:numPr>
        <w:spacing w:after="0" w:line="520" w:lineRule="exact"/>
        <w:ind w:firstLine="640" w:firstLineChars="200"/>
        <w:rPr>
          <w:rFonts w:eastAsia="仿宋"/>
        </w:rPr>
      </w:pPr>
      <w:r>
        <w:rPr>
          <w:rFonts w:hAnsi="仿宋" w:eastAsia="仿宋"/>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eastAsia="仿宋"/>
        </w:rPr>
        <w:t>50%</w:t>
      </w:r>
      <w:r>
        <w:rPr>
          <w:rFonts w:hAnsi="仿宋" w:eastAsia="仿宋"/>
        </w:rPr>
        <w:t>的优惠。律师事务所代理案件提起反诉且反诉请求涉及财产利益关系的，反诉请求标的额与本诉请求标的额合并计算诉讼标的额，按照第十二条规定的标准收费。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律师事务所接受委托为投融资、上市、并购、重组、改制、破产、清算、公司设立、公司治理结构设计、股权及债权债务转让等，参照第十二条标准收费。</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30%-50%</w:t>
      </w:r>
      <w:r>
        <w:rPr>
          <w:rFonts w:ascii="Times New Roman" w:hAnsi="仿宋" w:eastAsia="仿宋" w:cs="Times New Roman"/>
          <w:sz w:val="32"/>
          <w:szCs w:val="32"/>
        </w:rPr>
        <w:t>收费。代理执行案件可采用风险代理或计时收费，具体收费标准按照本标准关于风险代理或计时收费标准执行，不能风险代理的事项除外。</w:t>
      </w:r>
    </w:p>
    <w:p>
      <w:pPr>
        <w:pStyle w:val="7"/>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7"/>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2"/>
        <w:spacing w:after="0" w:line="520" w:lineRule="exact"/>
        <w:ind w:firstLine="643" w:firstLineChars="200"/>
        <w:rPr>
          <w:rFonts w:eastAsia="仿宋"/>
        </w:rPr>
      </w:pPr>
      <w:r>
        <w:rPr>
          <w:rFonts w:hAnsi="仿宋" w:eastAsia="仿宋"/>
          <w:b/>
          <w:bCs/>
        </w:rPr>
        <w:t>第十九条</w:t>
      </w:r>
      <w:r>
        <w:rPr>
          <w:rFonts w:eastAsia="仿宋"/>
        </w:rPr>
        <w:t xml:space="preserve"> </w:t>
      </w:r>
      <w:r>
        <w:rPr>
          <w:rFonts w:hAnsi="仿宋" w:eastAsia="仿宋"/>
        </w:rPr>
        <w:t>代理国家赔偿案件计件收费，一次性收费</w:t>
      </w:r>
      <w:r>
        <w:rPr>
          <w:rFonts w:eastAsia="仿宋"/>
        </w:rPr>
        <w:t>5000</w:t>
      </w:r>
      <w:r>
        <w:rPr>
          <w:rFonts w:hAnsi="仿宋" w:eastAsia="仿宋"/>
        </w:rPr>
        <w:t>元</w:t>
      </w:r>
      <w:r>
        <w:rPr>
          <w:rFonts w:eastAsia="仿宋"/>
        </w:rPr>
        <w:t>-3</w:t>
      </w:r>
      <w:r>
        <w:rPr>
          <w:rFonts w:hAnsi="仿宋" w:eastAsia="仿宋"/>
        </w:rPr>
        <w:t>万元</w:t>
      </w:r>
      <w:r>
        <w:rPr>
          <w:rFonts w:eastAsia="仿宋"/>
        </w:rPr>
        <w:t>/</w:t>
      </w:r>
      <w:r>
        <w:rPr>
          <w:rFonts w:hAnsi="仿宋" w:eastAsia="仿宋"/>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pStyle w:val="7"/>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代理行政诉讼一审、二审、发回重审、复议、听证、申诉等案件的收费标准，参照本章第十一条、第十二条、第十三条的内容收费，但不得适用风险代理收费。</w:t>
      </w:r>
    </w:p>
    <w:p>
      <w:pPr>
        <w:pStyle w:val="2"/>
        <w:spacing w:after="0" w:line="520" w:lineRule="exact"/>
        <w:ind w:firstLine="643" w:firstLineChars="200"/>
        <w:rPr>
          <w:rFonts w:eastAsia="仿宋"/>
        </w:rPr>
      </w:pPr>
      <w:r>
        <w:rPr>
          <w:rFonts w:hAnsi="仿宋" w:eastAsia="仿宋"/>
          <w:b/>
          <w:bCs/>
        </w:rPr>
        <w:t>第二十一条</w:t>
      </w:r>
      <w:r>
        <w:rPr>
          <w:rFonts w:eastAsia="仿宋"/>
        </w:rPr>
        <w:t xml:space="preserve"> </w:t>
      </w:r>
      <w:r>
        <w:rPr>
          <w:rFonts w:hAnsi="仿宋" w:eastAsia="仿宋"/>
        </w:rPr>
        <w:t>不能采取或变相采取风险代理收费的（四）至（六）项参照本章第一节、第二节的内容收费。</w:t>
      </w:r>
    </w:p>
    <w:p>
      <w:pPr>
        <w:pStyle w:val="2"/>
        <w:spacing w:after="0" w:line="520" w:lineRule="exact"/>
        <w:jc w:val="center"/>
        <w:rPr>
          <w:rFonts w:eastAsia="楷体"/>
          <w:b/>
          <w:kern w:val="2"/>
        </w:rPr>
      </w:pPr>
      <w:r>
        <w:rPr>
          <w:rFonts w:hAnsi="楷体" w:eastAsia="楷体"/>
          <w:b/>
          <w:kern w:val="2"/>
        </w:rPr>
        <w:t>第四节</w:t>
      </w:r>
      <w:r>
        <w:rPr>
          <w:rFonts w:eastAsia="楷体"/>
          <w:b/>
          <w:kern w:val="2"/>
        </w:rPr>
        <w:t xml:space="preserve"> </w:t>
      </w:r>
      <w:r>
        <w:rPr>
          <w:rFonts w:hAnsi="楷体" w:eastAsia="楷体"/>
          <w:b/>
          <w:kern w:val="2"/>
        </w:rPr>
        <w:t>刑事案件收费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公诉案件被告人的辩护人和担任自诉案件当事人的代理人。公诉案件可以按刑事诉讼流程进行收费，主要分为侦查阶段、审查起诉阶段、审判阶段、申诉、再审阶段，收费标准采取按一人一罪名执行。</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2"/>
        <w:spacing w:after="0" w:line="520" w:lineRule="exact"/>
        <w:ind w:firstLine="640" w:firstLineChars="200"/>
        <w:rPr>
          <w:rFonts w:eastAsia="仿宋"/>
        </w:rPr>
      </w:pPr>
      <w:r>
        <w:rPr>
          <w:rFonts w:hAnsi="仿宋" w:eastAsia="仿宋"/>
        </w:rPr>
        <w:t>担任刑事案件自诉人、被害人的代理人：一次性收费</w:t>
      </w:r>
      <w:r>
        <w:rPr>
          <w:rFonts w:eastAsia="仿宋"/>
        </w:rPr>
        <w:t>2</w:t>
      </w:r>
      <w:r>
        <w:rPr>
          <w:rFonts w:hAnsi="仿宋" w:eastAsia="仿宋"/>
        </w:rPr>
        <w:t>万元</w:t>
      </w:r>
      <w:r>
        <w:rPr>
          <w:rFonts w:eastAsia="仿宋"/>
        </w:rPr>
        <w:t>-6</w:t>
      </w:r>
      <w:r>
        <w:rPr>
          <w:rFonts w:hAnsi="仿宋" w:eastAsia="仿宋"/>
        </w:rPr>
        <w:t>万元</w:t>
      </w:r>
      <w:r>
        <w:rPr>
          <w:rFonts w:eastAsia="仿宋"/>
        </w:rPr>
        <w:t>/</w:t>
      </w:r>
      <w:r>
        <w:rPr>
          <w:rFonts w:hAnsi="仿宋" w:eastAsia="仿宋"/>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2"/>
        <w:spacing w:after="0" w:line="520" w:lineRule="exact"/>
        <w:ind w:firstLine="640" w:firstLineChars="200"/>
        <w:rPr>
          <w:rFonts w:eastAsia="仿宋"/>
        </w:rPr>
      </w:pPr>
      <w:r>
        <w:rPr>
          <w:rFonts w:hAnsi="仿宋" w:eastAsia="仿宋"/>
        </w:rPr>
        <w:t>办理异地、重大、疑难、复杂、社会影响较大的刑事诉讼案件，可以在上述收费标准</w:t>
      </w:r>
      <w:r>
        <w:rPr>
          <w:rFonts w:eastAsia="仿宋"/>
        </w:rPr>
        <w:t>6</w:t>
      </w:r>
      <w:r>
        <w:rPr>
          <w:rFonts w:hAnsi="仿宋" w:eastAsia="仿宋"/>
        </w:rPr>
        <w:t>倍之内</w:t>
      </w:r>
      <w:r>
        <w:rPr>
          <w:rFonts w:eastAsia="仿宋"/>
        </w:rPr>
        <w:t>(</w:t>
      </w:r>
      <w:r>
        <w:rPr>
          <w:rFonts w:hAnsi="仿宋" w:eastAsia="仿宋"/>
        </w:rPr>
        <w:t>含</w:t>
      </w:r>
      <w:r>
        <w:rPr>
          <w:rFonts w:eastAsia="仿宋"/>
        </w:rPr>
        <w:t>6</w:t>
      </w:r>
      <w:r>
        <w:rPr>
          <w:rFonts w:hAnsi="仿宋" w:eastAsia="仿宋"/>
        </w:rPr>
        <w:t>倍</w:t>
      </w:r>
      <w:r>
        <w:rPr>
          <w:rFonts w:eastAsia="仿宋"/>
        </w:rPr>
        <w:t>)</w:t>
      </w:r>
      <w:r>
        <w:rPr>
          <w:rFonts w:hAnsi="仿宋" w:eastAsia="仿宋"/>
        </w:rPr>
        <w:t>协商确定收费标准。</w:t>
      </w:r>
    </w:p>
    <w:p>
      <w:pPr>
        <w:pStyle w:val="2"/>
        <w:spacing w:after="0" w:line="520" w:lineRule="exact"/>
        <w:jc w:val="center"/>
        <w:rPr>
          <w:rFonts w:eastAsia="黑体"/>
        </w:rPr>
      </w:pPr>
      <w:r>
        <w:rPr>
          <w:rFonts w:hAnsi="黑体" w:eastAsia="黑体"/>
        </w:rPr>
        <w:t>第三章</w:t>
      </w:r>
      <w:r>
        <w:rPr>
          <w:rFonts w:eastAsia="黑体"/>
        </w:rPr>
        <w:t xml:space="preserve"> </w:t>
      </w:r>
      <w:r>
        <w:rPr>
          <w:rFonts w:hAnsi="黑体" w:eastAsia="黑体"/>
        </w:rPr>
        <w:t>其他说明</w:t>
      </w:r>
    </w:p>
    <w:p>
      <w:pPr>
        <w:pStyle w:val="7"/>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涉及案情特别简单、法律关系明确的法律事务，经律师事务所主任书面同意后，律师服务费可在上述收费标准的基础上依照具体情况进行减收或免收。</w:t>
      </w:r>
    </w:p>
    <w:p>
      <w:pPr>
        <w:pStyle w:val="7"/>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3</w:t>
      </w:r>
      <w:r>
        <w:rPr>
          <w:rFonts w:ascii="Times New Roman" w:hAnsi="仿宋" w:eastAsia="仿宋" w:cs="Times New Roman"/>
          <w:sz w:val="32"/>
          <w:szCs w:val="32"/>
        </w:rPr>
        <w:t>人及</w:t>
      </w:r>
      <w:r>
        <w:rPr>
          <w:rFonts w:ascii="Times New Roman" w:hAnsi="Times New Roman" w:eastAsia="仿宋" w:cs="Times New Roman"/>
          <w:sz w:val="32"/>
          <w:szCs w:val="32"/>
        </w:rPr>
        <w:t>3</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倍收费，亦可按本收费标准进行风险代理或者计时收费。</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6</w:t>
      </w:r>
      <w:r>
        <w:rPr>
          <w:rFonts w:ascii="Times New Roman" w:hAnsi="仿宋" w:eastAsia="仿宋" w:cs="Times New Roman"/>
          <w:sz w:val="32"/>
          <w:szCs w:val="32"/>
        </w:rPr>
        <w:t>倍收费。</w:t>
      </w:r>
    </w:p>
    <w:p>
      <w:pPr>
        <w:pStyle w:val="7"/>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30%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6</w:t>
      </w:r>
      <w:r>
        <w:rPr>
          <w:rFonts w:ascii="Times New Roman" w:hAnsi="仿宋" w:eastAsia="仿宋" w:cs="Times New Roman"/>
          <w:kern w:val="0"/>
          <w:sz w:val="32"/>
          <w:szCs w:val="32"/>
        </w:rPr>
        <w:t>倍收费。</w:t>
      </w:r>
    </w:p>
    <w:p>
      <w:pPr>
        <w:pStyle w:val="7"/>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本收费标准按照规定在德阳市律师协会备案后生效。</w:t>
      </w: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B8D36"/>
    <w:multiLevelType w:val="singleLevel"/>
    <w:tmpl w:val="724B8D36"/>
    <w:lvl w:ilvl="0" w:tentative="0">
      <w:start w:val="13"/>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67D04"/>
    <w:rsid w:val="00086D6F"/>
    <w:rsid w:val="000A21CF"/>
    <w:rsid w:val="000A5223"/>
    <w:rsid w:val="00150461"/>
    <w:rsid w:val="00163348"/>
    <w:rsid w:val="001702D6"/>
    <w:rsid w:val="00176683"/>
    <w:rsid w:val="001B2CA9"/>
    <w:rsid w:val="002644D8"/>
    <w:rsid w:val="0026763C"/>
    <w:rsid w:val="00287052"/>
    <w:rsid w:val="00287CA0"/>
    <w:rsid w:val="002A714E"/>
    <w:rsid w:val="002A728B"/>
    <w:rsid w:val="002B64F3"/>
    <w:rsid w:val="002B66A4"/>
    <w:rsid w:val="002C31AF"/>
    <w:rsid w:val="002E0982"/>
    <w:rsid w:val="002F49BF"/>
    <w:rsid w:val="002F6D8F"/>
    <w:rsid w:val="003517FF"/>
    <w:rsid w:val="00375FF3"/>
    <w:rsid w:val="003B4A86"/>
    <w:rsid w:val="00404C3D"/>
    <w:rsid w:val="004128C2"/>
    <w:rsid w:val="00416853"/>
    <w:rsid w:val="004C268B"/>
    <w:rsid w:val="004D1774"/>
    <w:rsid w:val="004D70C4"/>
    <w:rsid w:val="005245C8"/>
    <w:rsid w:val="00557E26"/>
    <w:rsid w:val="00567584"/>
    <w:rsid w:val="005E5981"/>
    <w:rsid w:val="00672020"/>
    <w:rsid w:val="00677DBB"/>
    <w:rsid w:val="006C311F"/>
    <w:rsid w:val="006C6CD7"/>
    <w:rsid w:val="006D6BB3"/>
    <w:rsid w:val="0072220E"/>
    <w:rsid w:val="00751D1A"/>
    <w:rsid w:val="007752D3"/>
    <w:rsid w:val="007B2EEE"/>
    <w:rsid w:val="007D09B9"/>
    <w:rsid w:val="008542A3"/>
    <w:rsid w:val="00892619"/>
    <w:rsid w:val="008C65AC"/>
    <w:rsid w:val="00912D78"/>
    <w:rsid w:val="00915DD7"/>
    <w:rsid w:val="00943F3C"/>
    <w:rsid w:val="009928C2"/>
    <w:rsid w:val="009B0D09"/>
    <w:rsid w:val="009B2BF1"/>
    <w:rsid w:val="009C08AA"/>
    <w:rsid w:val="00A40DB8"/>
    <w:rsid w:val="00A5775E"/>
    <w:rsid w:val="00A75AA1"/>
    <w:rsid w:val="00B718AA"/>
    <w:rsid w:val="00BB26EC"/>
    <w:rsid w:val="00BF6BC4"/>
    <w:rsid w:val="00C31312"/>
    <w:rsid w:val="00C42A1D"/>
    <w:rsid w:val="00C51F6A"/>
    <w:rsid w:val="00C57651"/>
    <w:rsid w:val="00CB26F6"/>
    <w:rsid w:val="00CE1660"/>
    <w:rsid w:val="00D0276C"/>
    <w:rsid w:val="00D23FC9"/>
    <w:rsid w:val="00D246FF"/>
    <w:rsid w:val="00D40349"/>
    <w:rsid w:val="00D94AA5"/>
    <w:rsid w:val="00DC11B8"/>
    <w:rsid w:val="00E53727"/>
    <w:rsid w:val="00E64635"/>
    <w:rsid w:val="00E7708B"/>
    <w:rsid w:val="00EA5D3A"/>
    <w:rsid w:val="00ED7421"/>
    <w:rsid w:val="00EF32BA"/>
    <w:rsid w:val="00F618B6"/>
    <w:rsid w:val="00F73074"/>
    <w:rsid w:val="00FB0721"/>
    <w:rsid w:val="00FE2E7F"/>
    <w:rsid w:val="396664A7"/>
    <w:rsid w:val="53992205"/>
    <w:rsid w:val="5CBF615D"/>
    <w:rsid w:val="5D470463"/>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autoRedefine/>
    <w:unhideWhenUsed/>
    <w:qFormat/>
    <w:uiPriority w:val="99"/>
    <w:pPr>
      <w:spacing w:after="120" w:line="480" w:lineRule="exact"/>
    </w:pPr>
    <w:rPr>
      <w:rFonts w:ascii="Times New Roman" w:hAnsi="Times New Roman" w:eastAsia="宋体" w:cs="Times New Roman"/>
      <w:kern w:val="32"/>
      <w:sz w:val="32"/>
      <w:szCs w:val="32"/>
    </w:rPr>
  </w:style>
  <w:style w:type="paragraph" w:styleId="3">
    <w:name w:val="Date"/>
    <w:basedOn w:val="1"/>
    <w:next w:val="1"/>
    <w:link w:val="14"/>
    <w:autoRedefine/>
    <w:qFormat/>
    <w:uiPriority w:val="0"/>
    <w:pPr>
      <w:ind w:left="100" w:leftChars="2500"/>
    </w:pPr>
  </w:style>
  <w:style w:type="paragraph" w:styleId="4">
    <w:name w:val="Balloon Text"/>
    <w:basedOn w:val="1"/>
    <w:link w:val="13"/>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autoRedefine/>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uiPriority w:val="0"/>
    <w:rPr>
      <w:kern w:val="2"/>
      <w:sz w:val="18"/>
      <w:szCs w:val="18"/>
    </w:rPr>
  </w:style>
  <w:style w:type="character" w:customStyle="1" w:styleId="12">
    <w:name w:val="页脚 Char"/>
    <w:basedOn w:val="10"/>
    <w:link w:val="5"/>
    <w:uiPriority w:val="0"/>
    <w:rPr>
      <w:kern w:val="2"/>
      <w:sz w:val="18"/>
      <w:szCs w:val="18"/>
    </w:rPr>
  </w:style>
  <w:style w:type="character" w:customStyle="1" w:styleId="13">
    <w:name w:val="批注框文本 Char"/>
    <w:basedOn w:val="10"/>
    <w:link w:val="4"/>
    <w:uiPriority w:val="0"/>
    <w:rPr>
      <w:kern w:val="2"/>
      <w:sz w:val="18"/>
      <w:szCs w:val="18"/>
    </w:rPr>
  </w:style>
  <w:style w:type="character" w:customStyle="1" w:styleId="14">
    <w:name w:val="日期 Char"/>
    <w:basedOn w:val="10"/>
    <w:link w:val="3"/>
    <w:autoRedefine/>
    <w:qFormat/>
    <w:uiPriority w:val="0"/>
    <w:rPr>
      <w:kern w:val="2"/>
      <w:sz w:val="21"/>
      <w:szCs w:val="24"/>
    </w:rPr>
  </w:style>
  <w:style w:type="character" w:customStyle="1" w:styleId="15">
    <w:name w:val="正文文本 Char"/>
    <w:basedOn w:val="10"/>
    <w:link w:val="2"/>
    <w:autoRedefine/>
    <w:qFormat/>
    <w:uiPriority w:val="99"/>
    <w:rPr>
      <w:rFonts w:ascii="Times New Roman" w:hAnsi="Times New Roman" w:eastAsia="宋体" w:cs="Times New Roman"/>
      <w:kern w:val="3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778</Words>
  <Characters>4438</Characters>
  <Lines>36</Lines>
  <Paragraphs>10</Paragraphs>
  <TotalTime>484</TotalTime>
  <ScaleCrop>false</ScaleCrop>
  <LinksUpToDate>false</LinksUpToDate>
  <CharactersWithSpaces>5206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2024-09-03T07:57:35Z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