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号）及省上相关规定，本会对四川万寿律师事务所提交的《四川万寿律师事务所律师服务收费标准》已审查完毕，相关内容符合相关规定，本会同意备案人的备案申请，该收费标准自备案之日起至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四川万寿律师事务所律师服务收费标准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收费原则、范围和方式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的性质、复杂程度、工作时长、参与人数、执业经验、执业风险、涉诉标的额等因素，根据本收费标准由委托人与律师事务所自愿平等协商，公平合理地确定收费方式和收费金额（均以人民币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律师办理委托事务过程中发生的诉讼费、仲裁费、鉴定费、公证费、专家论证费、翻译费、查档费、异地办案差旅费、跨境通讯费等费用，以及律师事务所代委托人支付的其他费用，由委托人另行支付。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律师事务所就下列法律事务收取律师服务费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（一）担任各类案件的代理人、辩护人，起草相关法律文书，提供法律意见，解答法律咨询，提供非诉讼法律服务，担任法律顾问等法律业务。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（二）从事其他与法律服务及法律培训相关的业务。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单独或综合采用计件收费方式、计时收费方式、按标的额比例收费方式或其他收费方式，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以上收费方式，在办理同一法律服务事务的不同阶段，可以选择同一种方式，也可以选择不同种方式。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律师服务费的收费方式和收费金额，应由律师事务所与委托人签订法律服务委托合同进行约定，律师服务费应由律师事务所统一收取、统一入账，律师个人不得向委托人收取律师服务费。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除律师服务费、代委托人支付的费用、异地办案差旅费、查档费外，不得以任何名义向委托人收取其他费用。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选择计件收费的，按下列标准收费：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（一）代书、起草、审查修改合同或者其他法律文书、出具律师函、律师见证、代为声明、参加谈判、会议、主持调解等，</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（二）担任国家机关、企事业单位、其他组织以及自然人的常年法律顾问，可按年度收费，</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（三）企业合规体系建设、专项事务法律服务、法律风险评估或论证、合法性审查、法律意见书、尽职调查、法律培训等，不涉及财产的，</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对于上述收费标准，根据法律事务具体情况及复杂程度，可以上浮不超过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3000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计费工作时间是律师办理委托事务的有效工作时间，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诉讼、仲裁和谈判、商议工作方案、代办各类手续以及办理其他相关委托事务的必要时间。律师办理委托事务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不涉及财产关系的法律事务选择按诉讼程序分阶段收费，每个阶段在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万元范围内收取律师服务费，根据案件复杂、疑难程度，可以上浮不超过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涉及财产利益关系的法律事务，如诉讼业务，每个独立的诉讼阶段，以案件争议标的金额按比例分段累加收费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w:t>
      </w:r>
      <w:r>
        <w:rPr>
          <w:rFonts w:ascii="Times New Roman" w:hAnsi="仿宋" w:eastAsia="仿宋" w:cs="Times New Roman"/>
          <w:sz w:val="32"/>
          <w:szCs w:val="32"/>
        </w:rPr>
        <w:t>万元以下部分（含</w:t>
      </w:r>
      <w:r>
        <w:rPr>
          <w:rFonts w:ascii="Times New Roman" w:hAnsi="Times New Roman" w:eastAsia="仿宋" w:cs="Times New Roman"/>
          <w:sz w:val="32"/>
          <w:szCs w:val="32"/>
        </w:rPr>
        <w:t>10</w:t>
      </w:r>
      <w:r>
        <w:rPr>
          <w:rFonts w:ascii="Times New Roman" w:hAnsi="仿宋" w:eastAsia="仿宋" w:cs="Times New Roman"/>
          <w:sz w:val="32"/>
          <w:szCs w:val="32"/>
        </w:rPr>
        <w:t>万元）收费比例为</w:t>
      </w:r>
      <w:r>
        <w:rPr>
          <w:rFonts w:ascii="Times New Roman" w:hAnsi="Times New Roman" w:eastAsia="仿宋" w:cs="Times New Roman"/>
          <w:sz w:val="32"/>
          <w:szCs w:val="32"/>
        </w:rPr>
        <w:t>8%-10%</w:t>
      </w:r>
      <w:r>
        <w:rPr>
          <w:rFonts w:ascii="Times New Roman" w:hAnsi="仿宋" w:eastAsia="仿宋" w:cs="Times New Roman"/>
          <w:sz w:val="32"/>
          <w:szCs w:val="32"/>
        </w:rPr>
        <w:t>，争议标的金额不足</w:t>
      </w:r>
      <w:r>
        <w:rPr>
          <w:rFonts w:ascii="Times New Roman" w:hAnsi="Times New Roman" w:eastAsia="仿宋" w:cs="Times New Roman"/>
          <w:sz w:val="32"/>
          <w:szCs w:val="32"/>
        </w:rPr>
        <w:t>5000</w:t>
      </w:r>
      <w:r>
        <w:rPr>
          <w:rFonts w:ascii="Times New Roman" w:hAnsi="仿宋" w:eastAsia="仿宋" w:cs="Times New Roman"/>
          <w:sz w:val="32"/>
          <w:szCs w:val="32"/>
        </w:rPr>
        <w:t>元的按</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件收取；</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万元部分（含</w:t>
      </w:r>
      <w:r>
        <w:rPr>
          <w:rFonts w:ascii="Times New Roman" w:hAnsi="Times New Roman" w:eastAsia="仿宋" w:cs="Times New Roman"/>
          <w:sz w:val="32"/>
          <w:szCs w:val="32"/>
        </w:rPr>
        <w:t>50</w:t>
      </w:r>
      <w:r>
        <w:rPr>
          <w:rFonts w:ascii="Times New Roman" w:hAnsi="仿宋" w:eastAsia="仿宋" w:cs="Times New Roman"/>
          <w:sz w:val="32"/>
          <w:szCs w:val="32"/>
        </w:rPr>
        <w:t>万元）为</w:t>
      </w:r>
      <w:r>
        <w:rPr>
          <w:rFonts w:ascii="Times New Roman" w:hAnsi="Times New Roman" w:eastAsia="仿宋" w:cs="Times New Roman"/>
          <w:sz w:val="32"/>
          <w:szCs w:val="32"/>
        </w:rPr>
        <w:t>7%-9%</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万元部分（含</w:t>
      </w:r>
      <w:r>
        <w:rPr>
          <w:rFonts w:ascii="Times New Roman" w:hAnsi="Times New Roman" w:eastAsia="仿宋" w:cs="Times New Roman"/>
          <w:sz w:val="32"/>
          <w:szCs w:val="32"/>
        </w:rPr>
        <w:t>100</w:t>
      </w:r>
      <w:r>
        <w:rPr>
          <w:rFonts w:ascii="Times New Roman" w:hAnsi="仿宋" w:eastAsia="仿宋" w:cs="Times New Roman"/>
          <w:sz w:val="32"/>
          <w:szCs w:val="32"/>
        </w:rPr>
        <w:t>万元）为</w:t>
      </w:r>
      <w:r>
        <w:rPr>
          <w:rFonts w:ascii="Times New Roman" w:hAnsi="Times New Roman" w:eastAsia="仿宋" w:cs="Times New Roman"/>
          <w:sz w:val="32"/>
          <w:szCs w:val="32"/>
        </w:rPr>
        <w:t>6%-8%;</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500</w:t>
      </w:r>
      <w:r>
        <w:rPr>
          <w:rFonts w:ascii="Times New Roman" w:hAnsi="仿宋" w:eastAsia="仿宋" w:cs="Times New Roman"/>
          <w:sz w:val="32"/>
          <w:szCs w:val="32"/>
        </w:rPr>
        <w:t>万元）为</w:t>
      </w:r>
      <w:r>
        <w:rPr>
          <w:rFonts w:ascii="Times New Roman" w:hAnsi="Times New Roman" w:eastAsia="仿宋" w:cs="Times New Roman"/>
          <w:sz w:val="32"/>
          <w:szCs w:val="32"/>
        </w:rPr>
        <w:t>5%-7%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4%-6%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2000</w:t>
      </w:r>
      <w:r>
        <w:rPr>
          <w:rFonts w:ascii="Times New Roman" w:hAnsi="仿宋" w:eastAsia="仿宋" w:cs="Times New Roman"/>
          <w:sz w:val="32"/>
          <w:szCs w:val="32"/>
        </w:rPr>
        <w:t>万元部分（含</w:t>
      </w:r>
      <w:r>
        <w:rPr>
          <w:rFonts w:ascii="Times New Roman" w:hAnsi="Times New Roman" w:eastAsia="仿宋" w:cs="Times New Roman"/>
          <w:sz w:val="32"/>
          <w:szCs w:val="32"/>
        </w:rPr>
        <w:t>2000</w:t>
      </w:r>
      <w:r>
        <w:rPr>
          <w:rFonts w:ascii="Times New Roman" w:hAnsi="仿宋" w:eastAsia="仿宋" w:cs="Times New Roman"/>
          <w:sz w:val="32"/>
          <w:szCs w:val="32"/>
        </w:rPr>
        <w:t>万元）为</w:t>
      </w:r>
      <w:r>
        <w:rPr>
          <w:rFonts w:ascii="Times New Roman" w:hAnsi="Times New Roman" w:eastAsia="仿宋" w:cs="Times New Roman"/>
          <w:sz w:val="32"/>
          <w:szCs w:val="32"/>
        </w:rPr>
        <w:t>3%-5%</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（七）</w:t>
      </w:r>
      <w:r>
        <w:rPr>
          <w:rFonts w:ascii="Times New Roman" w:hAnsi="Times New Roman" w:eastAsia="仿宋" w:cs="Times New Roman"/>
          <w:sz w:val="32"/>
          <w:szCs w:val="32"/>
        </w:rPr>
        <w:t>2000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万元）为</w:t>
      </w:r>
      <w:r>
        <w:rPr>
          <w:rFonts w:ascii="Times New Roman" w:hAnsi="Times New Roman" w:eastAsia="仿宋" w:cs="Times New Roman"/>
          <w:sz w:val="32"/>
          <w:szCs w:val="32"/>
        </w:rPr>
        <w:t>2%-4%</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（八）</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第十一条、第十二条规定是代理民事诉讼案件（包括律师作为刑事附带民事诉讼当事人仅就民事部分代理人的案件）一审阶段的收费标准。单独代理二审、再审、发回重审一审、发回重审二审案件的，或者代理仲裁案件，或者代理不予执行或撤销仲裁裁决的，按照上述一审阶段收费标准执行。同一律师事务所再次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的优惠。代理本诉、本请求同时代理反诉、反请求案件的，反诉、反请求按争议标的金额以民事诉讼案件一审阶段的收费标准给予不超过</w:t>
      </w:r>
      <w:r>
        <w:rPr>
          <w:rFonts w:ascii="Times New Roman" w:hAnsi="Times New Roman" w:eastAsia="仿宋" w:cs="Times New Roman"/>
          <w:sz w:val="32"/>
          <w:szCs w:val="32"/>
        </w:rPr>
        <w:t>30%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参与投融资、上市、并购、重组、改制、破产、清算、公司设立、公司治理结构设计、股权及债权债务转让等法律事务，参照本收费标准第十二条规定执行。</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民事案件、仲裁案件可以采取风险代理收费方式。涉及财产关系的以案件争议标的金额按比例分段累加收费：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（一）不足</w:t>
      </w:r>
      <w:r>
        <w:rPr>
          <w:rFonts w:ascii="Times New Roman" w:hAnsi="Times New Roman" w:eastAsia="仿宋" w:cs="Times New Roman"/>
          <w:sz w:val="32"/>
          <w:szCs w:val="32"/>
        </w:rPr>
        <w:t>100</w:t>
      </w:r>
      <w:r>
        <w:rPr>
          <w:rFonts w:ascii="Times New Roman" w:hAnsi="仿宋" w:eastAsia="仿宋" w:cs="Times New Roman"/>
          <w:sz w:val="32"/>
          <w:szCs w:val="32"/>
        </w:rPr>
        <w:t>万元（含</w:t>
      </w:r>
      <w:r>
        <w:rPr>
          <w:rFonts w:ascii="Times New Roman" w:hAnsi="Times New Roman" w:eastAsia="仿宋" w:cs="Times New Roman"/>
          <w:sz w:val="32"/>
          <w:szCs w:val="32"/>
        </w:rPr>
        <w:t>100</w:t>
      </w:r>
      <w:r>
        <w:rPr>
          <w:rFonts w:ascii="Times New Roman" w:hAnsi="仿宋" w:eastAsia="仿宋" w:cs="Times New Roman"/>
          <w:sz w:val="32"/>
          <w:szCs w:val="32"/>
        </w:rPr>
        <w:t>万元）部分为</w:t>
      </w:r>
      <w:r>
        <w:rPr>
          <w:rFonts w:ascii="Times New Roman" w:hAnsi="Times New Roman" w:eastAsia="仿宋" w:cs="Times New Roman"/>
          <w:sz w:val="32"/>
          <w:szCs w:val="32"/>
        </w:rPr>
        <w:t>10%-18%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万元（含</w:t>
      </w:r>
      <w:r>
        <w:rPr>
          <w:rFonts w:ascii="Times New Roman" w:hAnsi="Times New Roman" w:eastAsia="仿宋" w:cs="Times New Roman"/>
          <w:sz w:val="32"/>
          <w:szCs w:val="32"/>
        </w:rPr>
        <w:t>500</w:t>
      </w:r>
      <w:r>
        <w:rPr>
          <w:rFonts w:ascii="Times New Roman" w:hAnsi="仿宋" w:eastAsia="仿宋" w:cs="Times New Roman"/>
          <w:sz w:val="32"/>
          <w:szCs w:val="32"/>
        </w:rPr>
        <w:t>万元）部分为</w:t>
      </w:r>
      <w:r>
        <w:rPr>
          <w:rFonts w:ascii="Times New Roman" w:hAnsi="Times New Roman" w:eastAsia="仿宋" w:cs="Times New Roman"/>
          <w:sz w:val="32"/>
          <w:szCs w:val="32"/>
        </w:rPr>
        <w:t>8%-15%</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万元（含</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6%-12%</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万元（含</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4%-9%</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2%-6%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采取风险代理收费方式的法律事务，可以分阶段收费或者实现目标收费，在每个阶段到达、届至或者目标实现后按约定支付律师服务费。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采取风险代理收费方式的，应收取基础代理服务费，原则上不能采取不收取基础代理服务费的全风险代理方式。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采取风险代理收费方式的，律师事务所可以要求委托人对其依约应当支付的律师服务费提供相应担保。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委托人各自承担的风险责任作出明显不合理的约定，不得在风险代理合同中排除或者限制当事人上诉、撤诉、调解、和解等诉讼权利，或者对当事人行使上述权利设置惩罚性赔偿等不合理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在订立风险代理合同过程中，律师或律师事务所应当按相关规定向委托人履行提示义务和告知、说明义务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不能采取风险代理收费方式的情形及收费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诉讼案件包括担任国家公诉案件的辩护人、被害人的代理人、自诉案件的代理人。国家公诉案件可以按刑事诉讼流程分阶段进行收费，主要分为侦查阶段、审查起诉阶段、审判阶段、申诉阶段、再审阶段，按一人一罪名收取律师服务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万元，不同阶段由同一律师事务所律师代理的，可以给予不超过</w:t>
      </w:r>
      <w:r>
        <w:rPr>
          <w:rFonts w:ascii="Times New Roman" w:hAnsi="Times New Roman" w:eastAsia="仿宋" w:cs="Times New Roman"/>
          <w:sz w:val="32"/>
          <w:szCs w:val="32"/>
        </w:rPr>
        <w:t>20%</w:t>
      </w:r>
      <w:r>
        <w:rPr>
          <w:rFonts w:ascii="Times New Roman" w:hAnsi="仿宋" w:eastAsia="仿宋" w:cs="Times New Roman"/>
          <w:sz w:val="32"/>
          <w:szCs w:val="32"/>
        </w:rPr>
        <w:t>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（二）重审、申诉、再审，每件每阶段按</w:t>
      </w:r>
      <w:r>
        <w:rPr>
          <w:rFonts w:ascii="Times New Roman" w:hAnsi="Times New Roman" w:eastAsia="仿宋" w:cs="Times New Roman"/>
          <w:sz w:val="32"/>
          <w:szCs w:val="32"/>
        </w:rPr>
        <w:t>2-20</w:t>
      </w:r>
      <w:r>
        <w:rPr>
          <w:rFonts w:ascii="Times New Roman" w:hAnsi="仿宋" w:eastAsia="仿宋" w:cs="Times New Roman"/>
          <w:sz w:val="32"/>
          <w:szCs w:val="32"/>
        </w:rPr>
        <w:t>万元收费，如上述案件经重审、申诉、再审，又涉及一审、二审阶段及其他阶段的，每个阶段按照本条第一项规定另行收费；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（三）案件涉及财产争议的，按照民事诉讼案件的收费标准另行收费。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不能采取或变相采取风险代理收费方式的，按照民事诉讼案件的收费标准执行。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代理国家赔偿案件可以采取计件收费方式，每件收取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万元，也可以按照民事诉讼案件的收费标准执行。</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代理行政诉讼一审、二审、发回重审、复议、听证、申诉等案件的，按照民事诉讼案件的收费标准执行。</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收费标准上浮</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涉外（含涉港、澳、台）案件的收费标准，原则上按照民事诉讼案件一审阶段的收费标准执行。如果涉及到多语种法律服务的，可以在上述标准的基础上上浮不超过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倍收费。经委托人同意，也可以由律师事务所参照外国或港、澳、台地区律师事务所驻我国代表机构办理同类法律事务的收费标准，与委托人协商确定收费数额。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对于重大、疑难、复杂及律师工作量大的民事诉讼、仲裁案件，可以在民事诉讼案件一审阶段收费标准的基础上上浮不超过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知识产权纠纷、不正当竞争纠纷、商誉权、名誉权纠纷等案件；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七</w:t>
      </w:r>
      <w:r>
        <w:rPr>
          <w:rFonts w:ascii="Times New Roman" w:hAnsi="Times New Roman" w:eastAsia="仿宋" w:cs="Times New Roman"/>
          <w:sz w:val="32"/>
          <w:szCs w:val="32"/>
        </w:rPr>
        <w:t>)</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八</w:t>
      </w:r>
      <w:r>
        <w:rPr>
          <w:rFonts w:ascii="Times New Roman" w:hAnsi="Times New Roman" w:eastAsia="仿宋" w:cs="Times New Roman"/>
          <w:sz w:val="32"/>
          <w:szCs w:val="32"/>
        </w:rPr>
        <w:t>)</w:t>
      </w:r>
      <w:r>
        <w:rPr>
          <w:rFonts w:ascii="Times New Roman" w:hAnsi="仿宋" w:eastAsia="仿宋" w:cs="Times New Roman"/>
          <w:sz w:val="32"/>
          <w:szCs w:val="32"/>
        </w:rPr>
        <w:t>其他经律师事务所与委托人协商，双方认为属于重大、疑难、复杂的民事诉讼、仲裁案件。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代理民事申诉案件，按照代理民事诉讼案件一审阶段收费标准上浮不超过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单独代理执行案件，执行难度大，执行程序复杂的重大执行案件，按民事诉讼案件一审阶段收费标准上浮不超过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办理职务犯罪、异地、重大、疑难、复杂、社会影响较大的刑事诉讼案件，可以在刑事诉讼案件收费标准的基础上上浮不超过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其他收费方式根据委托事务的实际情况，由律师事务所与委托人协商一致，在律师服务收费合同或者委托代理合同中确定，但不得违反国家、省相关文件的规定。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律师事务所律师服务收费标准的相关信息，在与委托人签订的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对办理涉及农民工、残疾人等弱势群体或者与公益活动有关的法律服务事务，可以酌情减免律师服务费。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律师在办理委托事务过程中，发现委托人符合法律援助条件的，应告知委托人可以申请法律援助。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律师事务所除本收费标准第二十九条、第三十条涉及的法律事务外，其他法律事务的收费应当严格按照本收费标准执行，不得以争揽业务为目的，通过减收或免收律师服务费吸引委托人，进行低价不正当竞争。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第三十二条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本收费标准应当按照相关规定予以备案，并在律师事务所内公示，律师事务所全体律师严格遵照执行，并接受社会监督。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本收费标准报德阳市律师协会审查备案后生效。</w:t>
      </w: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E1C22"/>
    <w:rsid w:val="002F49BF"/>
    <w:rsid w:val="003517FF"/>
    <w:rsid w:val="003B4A86"/>
    <w:rsid w:val="00404C3D"/>
    <w:rsid w:val="004128C2"/>
    <w:rsid w:val="004541F2"/>
    <w:rsid w:val="00464091"/>
    <w:rsid w:val="004C268B"/>
    <w:rsid w:val="004D1774"/>
    <w:rsid w:val="004D70C4"/>
    <w:rsid w:val="005245C8"/>
    <w:rsid w:val="00557E26"/>
    <w:rsid w:val="00567584"/>
    <w:rsid w:val="00592CF4"/>
    <w:rsid w:val="005B6068"/>
    <w:rsid w:val="00677DBB"/>
    <w:rsid w:val="006C311F"/>
    <w:rsid w:val="006C391B"/>
    <w:rsid w:val="006C6CD7"/>
    <w:rsid w:val="006D6BB3"/>
    <w:rsid w:val="00751D1A"/>
    <w:rsid w:val="007752D3"/>
    <w:rsid w:val="00787B7B"/>
    <w:rsid w:val="007B2EEE"/>
    <w:rsid w:val="007D09B9"/>
    <w:rsid w:val="008542A3"/>
    <w:rsid w:val="00892619"/>
    <w:rsid w:val="008C65AC"/>
    <w:rsid w:val="008E34D4"/>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C0766"/>
    <w:rsid w:val="00CC1413"/>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A0A0C"/>
    <w:rsid w:val="00FB0721"/>
    <w:rsid w:val="00FE2E7F"/>
    <w:rsid w:val="396664A7"/>
    <w:rsid w:val="53992205"/>
    <w:rsid w:val="59A23B2F"/>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709</Words>
  <Characters>4046</Characters>
  <Lines>33</Lines>
  <Paragraphs>9</Paragraphs>
  <TotalTime>481</TotalTime>
  <ScaleCrop>false</ScaleCrop>
  <LinksUpToDate>false</LinksUpToDate>
  <CharactersWithSpaces>4746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2024-09-03T07:52:12Z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