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49</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明炬（什邡）律师事务所提交的《四川明炬（什邡）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四川明炬（什邡）律师事务所律师服务收费标准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律师服务收费按政府指导价（如有）和市场调节价执行，</w:t>
      </w:r>
      <w:r>
        <w:rPr>
          <w:rFonts w:ascii="Times New Roman" w:hAnsi="仿宋" w:eastAsia="仿宋" w:cs="Times New Roman"/>
          <w:kern w:val="2"/>
          <w:sz w:val="32"/>
          <w:szCs w:val="32"/>
        </w:rPr>
        <w:t>市场调节价可采用计件收费方式、计时收费方式、按标的额比例收费方式或其它收费方式，双方还可以采取风险代理收费方式，但国家有关部门禁止风险代理的案件除外。具体执行的收费方式，由委托人与本律师事务所协商确定。</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以上收费方式，在同一法律服务办理的不同阶段，可以选择同一种方式，也可以选择不同种方式。</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的收费方式和收费金额，应由本律师事务所与委托人签订相应的法律事务委托合同进行约定，律师服务费应由本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sz w:val="32"/>
          <w:szCs w:val="32"/>
        </w:rPr>
        <w:t>3</w:t>
      </w:r>
      <w:r>
        <w:rPr>
          <w:rFonts w:ascii="Times New Roman" w:hAnsi="仿宋" w:eastAsia="仿宋" w:cs="Times New Roman"/>
          <w:sz w:val="32"/>
          <w:szCs w:val="32"/>
        </w:rPr>
        <w:t>个工作日内将律师服务费全额转入本律师事务所账户。</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律师服务费由本律师事务所依约定收取并据实开具律师服务费发票，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（二）代为声明、参加谈判、会议、主持调解等，可按件收费，每件</w:t>
      </w:r>
      <w:r>
        <w:rPr>
          <w:rFonts w:ascii="Times New Roman" w:hAnsi="Times New Roman" w:eastAsia="仿宋" w:cs="Times New Roman"/>
          <w:sz w:val="32"/>
          <w:szCs w:val="32"/>
        </w:rPr>
        <w:t>2000</w:t>
      </w:r>
      <w:r>
        <w:rPr>
          <w:rFonts w:ascii="Times New Roman" w:hAnsi="仿宋" w:eastAsia="仿宋" w:cs="Times New Roman"/>
          <w:sz w:val="32"/>
          <w:szCs w:val="32"/>
        </w:rPr>
        <w:t>元</w:t>
      </w:r>
      <w:r>
        <w:rPr>
          <w:rFonts w:ascii="Times New Roman" w:hAnsi="Times New Roman" w:eastAsia="仿宋" w:cs="Times New Roman"/>
          <w:sz w:val="32"/>
          <w:szCs w:val="32"/>
        </w:rPr>
        <w:t>—50000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—38</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5%-9%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3%-7%</w:t>
      </w:r>
      <w:r>
        <w:rPr>
          <w:rFonts w:ascii="Times New Roman" w:hAnsi="仿宋" w:eastAsia="仿宋" w:cs="Times New Roman"/>
          <w:sz w:val="32"/>
          <w:szCs w:val="32"/>
        </w:rPr>
        <w:t>；</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1.5%-5%;</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0.5%-3%</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上述收费标准是诉讼案件单独一个程序的收费标准。</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其中，若破产管理人等法律事务有相关收费标准的，从其规定，但优惠折扣率不高于</w:t>
      </w:r>
      <w:r>
        <w:rPr>
          <w:rFonts w:ascii="Times New Roman" w:hAnsi="Times New Roman" w:eastAsia="仿宋" w:cs="Times New Roman"/>
          <w:sz w:val="32"/>
          <w:szCs w:val="32"/>
        </w:rPr>
        <w:t>40 %</w:t>
      </w:r>
      <w:r>
        <w:rPr>
          <w:rFonts w:ascii="Times New Roman" w:hAnsi="仿宋" w:eastAsia="仿宋" w:cs="Times New Roman"/>
          <w:sz w:val="32"/>
          <w:szCs w:val="32"/>
        </w:rPr>
        <w:t>。</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6%-18%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3.5%-15%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2.5%-12%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1.6%-9%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0.6%-6%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本律师事务所原则上要求委托人支付一定金额的基础法律服务费，但收取的基础法律服务费与后期风险收费之和，应符合本条的标准范围；本律师事务所也可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本</w:t>
      </w:r>
      <w:r>
        <w:rPr>
          <w:rFonts w:ascii="Times New Roman" w:hAnsi="仿宋" w:eastAsia="仿宋" w:cs="Times New Roman"/>
          <w:kern w:val="2"/>
          <w:sz w:val="32"/>
          <w:szCs w:val="32"/>
        </w:rPr>
        <w:t>律师事务所和律师不得滥用专业优势地位，对本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在订立风险代理合同过程中，本所律师或律师事务所应当按相关规定向委托人履行提示义务和告知义务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shd w:val="pct10" w:color="auto" w:fill="FFFFFF"/>
        </w:rPr>
        <w:t>0.5</w:t>
      </w:r>
      <w:r>
        <w:rPr>
          <w:rFonts w:ascii="Times New Roman" w:hAnsi="仿宋" w:eastAsia="仿宋" w:cs="Times New Roman"/>
          <w:sz w:val="32"/>
          <w:szCs w:val="32"/>
          <w:shd w:val="pct10" w:color="auto" w:fill="FFFFFF"/>
        </w:rPr>
        <w:t>万</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审判阶段：</w:t>
      </w:r>
      <w:r>
        <w:rPr>
          <w:rFonts w:ascii="Times New Roman" w:hAnsi="Times New Roman" w:eastAsia="仿宋" w:cs="Times New Roman"/>
          <w:sz w:val="32"/>
          <w:szCs w:val="32"/>
        </w:rPr>
        <w:t>0.6</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申诉、再审阶段：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对于担任当事人自诉案件的代理人案件进行一次性收费，</w:t>
      </w:r>
      <w:r>
        <w:rPr>
          <w:rFonts w:ascii="Times New Roman" w:hAnsi="Times New Roman" w:eastAsia="仿宋" w:cs="Times New Roman"/>
          <w:sz w:val="32"/>
          <w:szCs w:val="32"/>
        </w:rPr>
        <w:t>1.5</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件，也可按标的额的比例进行收费。</w:t>
      </w:r>
    </w:p>
    <w:p>
      <w:pPr>
        <w:pStyle w:val="6"/>
        <w:adjustRightIn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同时办理从侦查至审判三个阶段的，可适当予以优惠（三个阶段合并后在</w:t>
      </w:r>
      <w:r>
        <w:rPr>
          <w:rFonts w:ascii="Times New Roman" w:hAnsi="Times New Roman" w:eastAsia="仿宋" w:cs="Times New Roman"/>
          <w:sz w:val="32"/>
          <w:szCs w:val="32"/>
        </w:rPr>
        <w:t>1.2</w:t>
      </w:r>
      <w:r>
        <w:rPr>
          <w:rFonts w:ascii="Times New Roman" w:hAnsi="仿宋" w:eastAsia="仿宋" w:cs="Times New Roman"/>
          <w:sz w:val="32"/>
          <w:szCs w:val="32"/>
        </w:rPr>
        <w:t>万元</w:t>
      </w:r>
      <w:r>
        <w:rPr>
          <w:rFonts w:ascii="Times New Roman" w:hAnsi="Times New Roman" w:eastAsia="仿宋" w:cs="Times New Roman"/>
          <w:sz w:val="32"/>
          <w:szCs w:val="32"/>
        </w:rPr>
        <w:t>-25</w:t>
      </w:r>
      <w:r>
        <w:rPr>
          <w:rFonts w:ascii="Times New Roman" w:hAnsi="仿宋" w:eastAsia="仿宋" w:cs="Times New Roman"/>
          <w:sz w:val="32"/>
          <w:szCs w:val="32"/>
        </w:rPr>
        <w:t>万元范围内）。</w:t>
      </w:r>
    </w:p>
    <w:p>
      <w:pPr>
        <w:pStyle w:val="6"/>
        <w:adjustRightInd w:val="0"/>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办理异地、重大、疑难、复杂、社会影响较大的刑事诉讼案件，可以在上述收费标准</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协商确定收费标准。</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不能采取或变相采取风险代理收费的（二）至（六）项参照本章第一节、第二节的内容收费。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民事诉讼、行政诉讼案件分为一审、二审、执行、申请再审、申请抗诉阶段等诉讼程序。</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申请国家赔偿案件分为申请赔偿阶段、申请复议阶段等诉讼程序。</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刑事案件分为侦查阶段、审查起诉阶段、一审、二审、申请再审阶段等诉讼程序。</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所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对办理涉及农民工、残疾人等弱势群体或者与公益活动有关的法律服务事项，可以酌情减免律师服务费</w:t>
      </w:r>
      <w:r>
        <w:rPr>
          <w:rFonts w:ascii="Times New Roman" w:hAnsi="仿宋" w:eastAsia="仿宋" w:cs="Times New Roman"/>
          <w:sz w:val="32"/>
          <w:szCs w:val="32"/>
        </w:rPr>
        <w:t>。其他特殊情形，如律师办理近亲属、顾问单位、标的额巨大的金融借款等案件，需要予以优惠收费的，须提交相应证明材料和说明，报本所副主任、主任核实、审批后方可</w:t>
      </w:r>
      <w:r>
        <w:rPr>
          <w:rFonts w:ascii="Times New Roman" w:hAnsi="仿宋" w:eastAsia="仿宋" w:cs="Times New Roman"/>
          <w:kern w:val="2"/>
          <w:sz w:val="32"/>
          <w:szCs w:val="32"/>
        </w:rPr>
        <w:t>酌情减免律师服务费，但减免幅度不得超过应收费的</w:t>
      </w:r>
      <w:r>
        <w:rPr>
          <w:rFonts w:ascii="Times New Roman" w:hAnsi="Times New Roman" w:eastAsia="仿宋" w:cs="Times New Roman"/>
          <w:kern w:val="2"/>
          <w:sz w:val="32"/>
          <w:szCs w:val="32"/>
        </w:rPr>
        <w:t>60%</w:t>
      </w:r>
      <w:r>
        <w:rPr>
          <w:rFonts w:ascii="Times New Roman" w:hAnsi="仿宋" w:eastAsia="仿宋" w:cs="Times New Roman"/>
          <w:kern w:val="2"/>
          <w:sz w:val="32"/>
          <w:szCs w:val="32"/>
        </w:rPr>
        <w:t>。</w:t>
      </w:r>
    </w:p>
    <w:p>
      <w:pPr>
        <w:pStyle w:val="6"/>
        <w:shd w:val="clear" w:color="auto" w:fill="FFFFFF"/>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color w:val="000000"/>
          <w:sz w:val="32"/>
          <w:szCs w:val="32"/>
        </w:rPr>
        <w:t>本所</w:t>
      </w:r>
      <w:r>
        <w:rPr>
          <w:rFonts w:ascii="Times New Roman" w:hAnsi="仿宋" w:eastAsia="仿宋" w:cs="Times New Roman"/>
          <w:sz w:val="32"/>
          <w:szCs w:val="32"/>
        </w:rPr>
        <w:t>律师接受指派的法律援助案件，不得向受援人收取任何费用。</w:t>
      </w:r>
    </w:p>
    <w:p>
      <w:pPr>
        <w:pStyle w:val="6"/>
        <w:shd w:val="clear" w:color="auto" w:fill="FFFFFF"/>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全体律师除前述第二十二条、二十三条涉及案件外，其他案件收费应</w:t>
      </w:r>
      <w:r>
        <w:rPr>
          <w:rFonts w:ascii="Times New Roman" w:hAnsi="仿宋" w:eastAsia="仿宋" w:cs="Times New Roman"/>
          <w:b/>
          <w:bCs/>
          <w:color w:val="000000"/>
          <w:sz w:val="32"/>
          <w:szCs w:val="32"/>
        </w:rPr>
        <w:t>严格按本收费标准执行，不得以争揽业务为目的，通过减收或免收律师服务费吸引委托人，进行低价的不正当竞争</w:t>
      </w:r>
      <w:r>
        <w:rPr>
          <w:rFonts w:ascii="Times New Roman" w:hAnsi="仿宋" w:eastAsia="仿宋" w:cs="Times New Roman"/>
          <w:sz w:val="32"/>
          <w:szCs w:val="32"/>
        </w:rPr>
        <w:t>。</w:t>
      </w:r>
    </w:p>
    <w:p>
      <w:pPr>
        <w:pStyle w:val="6"/>
        <w:shd w:val="clear" w:color="auto" w:fill="FFFFFF"/>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第二十五条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本收费标准应当按照相关规定予以备案，并在所内以公开方式公布已备案的本律师服务收费标准，律师事务所全体律师严格遵照执行，并接受社会监督。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第二十六条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本收费标准按照规定在德阳市律师协会成功备案后生效。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02111"/>
    <w:rsid w:val="00060B2C"/>
    <w:rsid w:val="00076458"/>
    <w:rsid w:val="00086D6F"/>
    <w:rsid w:val="000A5223"/>
    <w:rsid w:val="00150461"/>
    <w:rsid w:val="00163348"/>
    <w:rsid w:val="001702D6"/>
    <w:rsid w:val="00176683"/>
    <w:rsid w:val="001B2CA9"/>
    <w:rsid w:val="00207592"/>
    <w:rsid w:val="0023672A"/>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59073A"/>
    <w:rsid w:val="00672EE3"/>
    <w:rsid w:val="00677DBB"/>
    <w:rsid w:val="006C311F"/>
    <w:rsid w:val="006C6CD7"/>
    <w:rsid w:val="006D6BB3"/>
    <w:rsid w:val="00751D1A"/>
    <w:rsid w:val="007752D3"/>
    <w:rsid w:val="007B2EEE"/>
    <w:rsid w:val="007D09B9"/>
    <w:rsid w:val="008542A3"/>
    <w:rsid w:val="00892619"/>
    <w:rsid w:val="008C65AC"/>
    <w:rsid w:val="008D7FFE"/>
    <w:rsid w:val="00912D78"/>
    <w:rsid w:val="00915DD7"/>
    <w:rsid w:val="009928C2"/>
    <w:rsid w:val="009B0D09"/>
    <w:rsid w:val="009B2BF1"/>
    <w:rsid w:val="009C08AA"/>
    <w:rsid w:val="00A14F0B"/>
    <w:rsid w:val="00A40DB8"/>
    <w:rsid w:val="00A5775E"/>
    <w:rsid w:val="00A75AA1"/>
    <w:rsid w:val="00B718AA"/>
    <w:rsid w:val="00BB26EC"/>
    <w:rsid w:val="00BB5B66"/>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E2E7F"/>
    <w:rsid w:val="396664A7"/>
    <w:rsid w:val="53992205"/>
    <w:rsid w:val="5CBF615D"/>
    <w:rsid w:val="5E7CB07C"/>
    <w:rsid w:val="6DEFEAF1"/>
    <w:rsid w:val="7DB87D79"/>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0"/>
    <w:rPr>
      <w:kern w:val="2"/>
      <w:sz w:val="18"/>
      <w:szCs w:val="18"/>
    </w:rPr>
  </w:style>
  <w:style w:type="character" w:customStyle="1" w:styleId="11">
    <w:name w:val="页脚 Char"/>
    <w:basedOn w:val="9"/>
    <w:link w:val="4"/>
    <w:autoRedefine/>
    <w:qFormat/>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597</Words>
  <Characters>3403</Characters>
  <Lines>28</Lines>
  <Paragraphs>7</Paragraphs>
  <TotalTime>480</TotalTime>
  <ScaleCrop>false</ScaleCrop>
  <LinksUpToDate>false</LinksUpToDate>
  <CharactersWithSpaces>3993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2024-09-03T07:39:46Z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