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号）及省上相关规定，本会对四川豪迈律师事务所提交的《四川豪迈律师事务所律师服务收费标准》已审查完毕，相关内容符合相关规定，本会同意备案人的备案申请，该收费标准自备案之日起至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四川豪迈律师事务所律师服务收费标准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为规范本所律师服务收费行为，维护委托人和律师的合法权益，推进律师事业高质量发展，更好地满足新时代人民群众法律服务需求，根据国家、省相关法律法规及规范性文件的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原则，结合法律事务难易程度、工作时间、参与人数、执业经验、风险责任、涉诉标的额等情况，根据本收费标准由委托人与律师事务所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律师事务所在提供法律服务过程中代委托人支付的诉讼费、仲裁费、鉴定费、公证费、查档费、保全费、翻译费等费用，不属于律师服务费，由委托人另行支付。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ascii="Times New Roman" w:hAnsi="Times New Roman" w:eastAsia="仿宋" w:cs="Times New Roman"/>
          <w:kern w:val="2"/>
          <w:sz w:val="32"/>
          <w:szCs w:val="32"/>
        </w:rPr>
        <w:t>1</w:t>
      </w:r>
      <w:r>
        <w:rPr>
          <w:rFonts w:ascii="Times New Roman" w:hAnsi="仿宋" w:eastAsia="仿宋" w:cs="Times New Roman"/>
          <w:kern w:val="2"/>
          <w:sz w:val="32"/>
          <w:szCs w:val="32"/>
        </w:rPr>
        <w:t>）代理各类案件担任代理人、辩护人，起草相关法律文书，开展各类专项法律服务，担任法律顾问，接受法律咨询等法律业务。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ascii="Times New Roman" w:hAnsi="Times New Roman" w:eastAsia="仿宋" w:cs="Times New Roman"/>
          <w:kern w:val="2"/>
          <w:sz w:val="32"/>
          <w:szCs w:val="32"/>
        </w:rPr>
        <w:t>2</w:t>
      </w:r>
      <w:r>
        <w:rPr>
          <w:rFonts w:ascii="Times New Roman" w:hAnsi="仿宋" w:eastAsia="仿宋" w:cs="Times New Roman"/>
          <w:kern w:val="2"/>
          <w:sz w:val="32"/>
          <w:szCs w:val="32"/>
        </w:rPr>
        <w:t>）律师从事其他与法律服务及法律培训相关的事务。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律师服务收费按市场调节价执行，市场调节价可采用计件收费、计时收费、按标的额比例收费或风险代理收费方式，国家禁止风险代理的案件除外。</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律师服务费的收费方式和收费金额，应由律师事务所与委托人签订相应的法律事务《委托代理合同》进行约定，律师服务费应由律师事务所统一收取、统一入账，律师个人不得向委托人收取律师服务费。</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收费目录和收费标准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（一）咨询、代书，按每件</w:t>
      </w:r>
      <w:r>
        <w:rPr>
          <w:rFonts w:ascii="Times New Roman" w:hAnsi="Times New Roman" w:eastAsia="仿宋" w:cs="Times New Roman"/>
          <w:sz w:val="32"/>
          <w:szCs w:val="32"/>
        </w:rPr>
        <w:t>100</w:t>
      </w:r>
      <w:r>
        <w:rPr>
          <w:rFonts w:ascii="Times New Roman" w:hAnsi="仿宋" w:eastAsia="仿宋" w:cs="Times New Roman"/>
          <w:sz w:val="32"/>
          <w:szCs w:val="32"/>
        </w:rPr>
        <w:t>元</w:t>
      </w:r>
      <w:r>
        <w:rPr>
          <w:rFonts w:ascii="Times New Roman" w:hAnsi="Times New Roman" w:eastAsia="仿宋" w:cs="Times New Roman"/>
          <w:sz w:val="32"/>
          <w:szCs w:val="32"/>
        </w:rPr>
        <w:t>—2000</w:t>
      </w:r>
      <w:r>
        <w:rPr>
          <w:rFonts w:ascii="Times New Roman" w:hAnsi="仿宋" w:eastAsia="仿宋" w:cs="Times New Roman"/>
          <w:sz w:val="32"/>
          <w:szCs w:val="32"/>
        </w:rPr>
        <w:t>元收取。</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对于上述计件收费情形，可视案件紧迫情况、复杂程度，合理上浮，上浮比例不超过上限的</w:t>
      </w:r>
      <w:r>
        <w:rPr>
          <w:rFonts w:ascii="Times New Roman" w:hAnsi="Times New Roman" w:eastAsia="仿宋" w:cs="Times New Roman"/>
          <w:sz w:val="32"/>
          <w:szCs w:val="32"/>
        </w:rPr>
        <w:t>30%</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5000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万元范围内收取律师服务费，可根据案件情况，合理上浮，上浮比例不超过上限的</w:t>
      </w:r>
      <w:r>
        <w:rPr>
          <w:rFonts w:ascii="Times New Roman" w:hAnsi="Times New Roman" w:eastAsia="仿宋" w:cs="Times New Roman"/>
          <w:sz w:val="32"/>
          <w:szCs w:val="32"/>
        </w:rPr>
        <w:t>30%</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涉及财产关系的按比例收费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涉及财产利益关系的法律事务，如系诉讼事务，则在每个独立的诉讼阶段（包括执行程序）中，可按案件争议标的额的一定比例分段累计收费，具体如下：</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7%—10%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3%—6%;</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1%—4%</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本标准是代理民事诉讼案件（包括代理刑事附带民事诉讼部分的案件）一审阶段的收费标准。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的优惠。同时代理本诉和反诉案件的，反诉案件按一审阶段的收费标准给予不超过</w:t>
      </w:r>
      <w:r>
        <w:rPr>
          <w:rFonts w:ascii="Times New Roman" w:hAnsi="Times New Roman" w:eastAsia="仿宋" w:cs="Times New Roman"/>
          <w:sz w:val="32"/>
          <w:szCs w:val="32"/>
        </w:rPr>
        <w:t>30%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投资融资、改制上市、并购重组、破产清算、公司设立、公司治理结构设计、股权及债权债务转让等法律事务，参照本标准收费。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风险代理各个环节的收费按下列标准收取：</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10%—18%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风险代理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刑事案件根据不同诉讼阶段，收费标准采取按一人一罪名执行。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w:t>
      </w:r>
      <w:r>
        <w:rPr>
          <w:rFonts w:ascii="Times New Roman" w:hAnsi="Times New Roman" w:eastAsia="仿宋" w:cs="Times New Roman"/>
          <w:sz w:val="32"/>
          <w:szCs w:val="32"/>
        </w:rPr>
        <w:t>10%-30%</w:t>
      </w:r>
      <w:r>
        <w:rPr>
          <w:rFonts w:ascii="Times New Roman" w:hAnsi="仿宋" w:eastAsia="仿宋" w:cs="Times New Roman"/>
          <w:sz w:val="32"/>
          <w:szCs w:val="32"/>
        </w:rPr>
        <w:t>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（二）重审、申诉、再审，每件每阶段按照</w:t>
      </w:r>
      <w:r>
        <w:rPr>
          <w:rFonts w:ascii="Times New Roman" w:hAnsi="Times New Roman" w:eastAsia="仿宋" w:cs="Times New Roman"/>
          <w:sz w:val="32"/>
          <w:szCs w:val="32"/>
        </w:rPr>
        <w:t>2</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（三）案件涉及有财产及其他标的，参照本标准涉及财产关系按比例收费标准的规定执行。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（四）担任刑事案件自诉人、被害人的代理人的，每件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万元，也可按收费标准中对应标的额的百分比进行收费。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代理行政诉讼一审、二审、发回重审、复议、听证、申诉等案件的收费标准，参照本收费标准执行，但每件最低收费不少于</w:t>
      </w:r>
      <w:r>
        <w:rPr>
          <w:rFonts w:ascii="Times New Roman" w:hAnsi="Times New Roman" w:eastAsia="仿宋" w:cs="Times New Roman"/>
          <w:sz w:val="32"/>
          <w:szCs w:val="32"/>
        </w:rPr>
        <w:t>1</w:t>
      </w:r>
      <w:r>
        <w:rPr>
          <w:rFonts w:ascii="Times New Roman" w:hAnsi="仿宋" w:eastAsia="仿宋" w:cs="Times New Roman"/>
          <w:sz w:val="32"/>
          <w:szCs w:val="32"/>
        </w:rPr>
        <w:t>万元。</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其他不能采取风险代理的案件，按照本标准第十一条、第十二条的规定执行。</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第二十二条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本收费标准应当按照相关规定予以备案，并在所内显著位置予以公示，本所全体律师均应严格遵照执行，并接受社会监督。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第二十三条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本收费标准经德阳市律师协会备案登记后生效。</w:t>
      </w:r>
    </w:p>
    <w:p>
      <w:pPr>
        <w:widowControl/>
        <w:spacing w:line="52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D3447"/>
    <w:rsid w:val="00150461"/>
    <w:rsid w:val="00163348"/>
    <w:rsid w:val="001702D6"/>
    <w:rsid w:val="00176683"/>
    <w:rsid w:val="001B2CA9"/>
    <w:rsid w:val="001B2FF3"/>
    <w:rsid w:val="002644D8"/>
    <w:rsid w:val="0026763C"/>
    <w:rsid w:val="002735FF"/>
    <w:rsid w:val="00287CA0"/>
    <w:rsid w:val="002A379D"/>
    <w:rsid w:val="002A714E"/>
    <w:rsid w:val="002A728B"/>
    <w:rsid w:val="002B64F3"/>
    <w:rsid w:val="002B66A4"/>
    <w:rsid w:val="002E0982"/>
    <w:rsid w:val="002E0CB1"/>
    <w:rsid w:val="002F185A"/>
    <w:rsid w:val="002F49BF"/>
    <w:rsid w:val="003517FF"/>
    <w:rsid w:val="003678F5"/>
    <w:rsid w:val="003B4A86"/>
    <w:rsid w:val="00404C3D"/>
    <w:rsid w:val="004128C2"/>
    <w:rsid w:val="004C268B"/>
    <w:rsid w:val="004D1463"/>
    <w:rsid w:val="004D1774"/>
    <w:rsid w:val="004D70C4"/>
    <w:rsid w:val="005245C8"/>
    <w:rsid w:val="00557E26"/>
    <w:rsid w:val="00567584"/>
    <w:rsid w:val="00677DBB"/>
    <w:rsid w:val="006C311F"/>
    <w:rsid w:val="006C6CD7"/>
    <w:rsid w:val="006D6BB3"/>
    <w:rsid w:val="0070164F"/>
    <w:rsid w:val="00751D1A"/>
    <w:rsid w:val="007752D3"/>
    <w:rsid w:val="007B2EEE"/>
    <w:rsid w:val="007D09B9"/>
    <w:rsid w:val="008542A3"/>
    <w:rsid w:val="00892619"/>
    <w:rsid w:val="008C65AC"/>
    <w:rsid w:val="00912D78"/>
    <w:rsid w:val="00915DD7"/>
    <w:rsid w:val="009928C2"/>
    <w:rsid w:val="009B0D09"/>
    <w:rsid w:val="009B2BF1"/>
    <w:rsid w:val="009C08AA"/>
    <w:rsid w:val="009F1E81"/>
    <w:rsid w:val="00A144CF"/>
    <w:rsid w:val="00A40DB8"/>
    <w:rsid w:val="00A5775E"/>
    <w:rsid w:val="00A75AA1"/>
    <w:rsid w:val="00B718AA"/>
    <w:rsid w:val="00BB26EC"/>
    <w:rsid w:val="00BF6BC4"/>
    <w:rsid w:val="00C31312"/>
    <w:rsid w:val="00C376AE"/>
    <w:rsid w:val="00C42A1D"/>
    <w:rsid w:val="00CA304F"/>
    <w:rsid w:val="00CB26F6"/>
    <w:rsid w:val="00CC30B4"/>
    <w:rsid w:val="00CE1660"/>
    <w:rsid w:val="00D0276C"/>
    <w:rsid w:val="00D23FC9"/>
    <w:rsid w:val="00D246FF"/>
    <w:rsid w:val="00D40349"/>
    <w:rsid w:val="00D94AA5"/>
    <w:rsid w:val="00DB72B0"/>
    <w:rsid w:val="00DC11B8"/>
    <w:rsid w:val="00E02452"/>
    <w:rsid w:val="00E53727"/>
    <w:rsid w:val="00E64635"/>
    <w:rsid w:val="00E7708B"/>
    <w:rsid w:val="00EA5D3A"/>
    <w:rsid w:val="00EF32BA"/>
    <w:rsid w:val="00F618B6"/>
    <w:rsid w:val="00F73074"/>
    <w:rsid w:val="00FB0721"/>
    <w:rsid w:val="00FE2E7F"/>
    <w:rsid w:val="221230C0"/>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489</Words>
  <Characters>2788</Characters>
  <Lines>23</Lines>
  <Paragraphs>6</Paragraphs>
  <TotalTime>561</TotalTime>
  <ScaleCrop>false</ScaleCrop>
  <LinksUpToDate>false</LinksUpToDate>
  <CharactersWithSpaces>3271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2024-09-03T07:30:55Z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