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61</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号）及省上相关规定，本会对四川铁剑蓝律师事务所提交的《四川铁剑蓝律师事务所律师服务收费标准》已审查完毕，相关内容符合相关规定，本会同意备案人的备案申请，该收费标准自备案之日起至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afterLines="50"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四川铁剑蓝律师事务所律师服务收费标准</w:t>
      </w:r>
    </w:p>
    <w:p>
      <w:pPr>
        <w:pStyle w:val="6"/>
        <w:spacing w:before="0" w:beforeAutospacing="0" w:after="0" w:afterAutospacing="0" w:line="520" w:lineRule="exact"/>
        <w:ind w:firstLine="640" w:firstLineChars="200"/>
        <w:jc w:val="both"/>
        <w:rPr>
          <w:rFonts w:ascii="Times New Roman" w:hAnsi="Times New Roman" w:eastAsia="仿宋" w:cs="Times New Roman"/>
          <w:bCs/>
          <w:sz w:val="32"/>
          <w:szCs w:val="32"/>
        </w:rPr>
      </w:pPr>
      <w:r>
        <w:rPr>
          <w:rFonts w:ascii="Times New Roman" w:hAnsi="仿宋" w:eastAsia="仿宋" w:cs="Times New Roman"/>
          <w:sz w:val="32"/>
          <w:szCs w:val="32"/>
        </w:rPr>
        <w:t>为规范本所律师服务收费行为，根据《四川省律师服务收费标准制订指引》的规定，制定本收费标准。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律师事务所接受委托办理法律事务，向委托人收取的服务报酬。</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spacing w:line="520" w:lineRule="exact"/>
        <w:ind w:firstLine="643" w:firstLineChars="200"/>
        <w:rPr>
          <w:rFonts w:ascii="Times New Roman" w:hAnsi="Times New Roman" w:eastAsia="仿宋" w:cs="Times New Roman"/>
          <w:b/>
          <w:bCs/>
          <w:kern w:val="0"/>
          <w:sz w:val="32"/>
          <w:szCs w:val="32"/>
        </w:rPr>
      </w:pPr>
      <w:r>
        <w:rPr>
          <w:rFonts w:ascii="Times New Roman" w:hAnsi="仿宋" w:eastAsia="仿宋" w:cs="Times New Roman"/>
          <w:b/>
          <w:bCs/>
          <w:kern w:val="0"/>
          <w:sz w:val="32"/>
          <w:szCs w:val="32"/>
        </w:rPr>
        <w:t>第八条</w:t>
      </w:r>
      <w:r>
        <w:rPr>
          <w:rFonts w:ascii="Times New Roman" w:hAnsi="Times New Roman" w:eastAsia="仿宋" w:cs="Times New Roman"/>
          <w:b/>
          <w:bCs/>
          <w:kern w:val="0"/>
          <w:sz w:val="32"/>
          <w:szCs w:val="32"/>
        </w:rPr>
        <w:t xml:space="preserve"> </w:t>
      </w:r>
      <w:r>
        <w:rPr>
          <w:rFonts w:ascii="Times New Roman" w:hAnsi="仿宋" w:eastAsia="仿宋" w:cs="Times New Roman"/>
          <w:b/>
          <w:bCs/>
          <w:kern w:val="0"/>
          <w:sz w:val="32"/>
          <w:szCs w:val="32"/>
        </w:rPr>
        <w:t>代理民事诉讼、仲裁案件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不涉及财产关系的，基准收费标准为</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-30000</w:t>
      </w:r>
      <w:r>
        <w:rPr>
          <w:rFonts w:ascii="Times New Roman" w:hAnsi="仿宋" w:eastAsia="仿宋" w:cs="Times New Roman"/>
          <w:sz w:val="32"/>
          <w:szCs w:val="32"/>
        </w:rPr>
        <w:t>元／件，可合理上浮，上浮比例不超过</w:t>
      </w:r>
      <w:r>
        <w:rPr>
          <w:rFonts w:ascii="Times New Roman" w:hAnsi="Times New Roman" w:eastAsia="仿宋" w:cs="Times New Roman"/>
          <w:sz w:val="32"/>
          <w:szCs w:val="32"/>
        </w:rPr>
        <w:t>100%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涉及财产关系的，按照争议标的额分段按比例累加收费（固定收费）：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10</w:t>
      </w:r>
      <w:r>
        <w:rPr>
          <w:rFonts w:ascii="Times New Roman" w:hAnsi="仿宋" w:eastAsia="仿宋" w:cs="Times New Roman"/>
          <w:sz w:val="32"/>
          <w:szCs w:val="32"/>
        </w:rPr>
        <w:t>万元以下部分（含</w:t>
      </w:r>
      <w:r>
        <w:rPr>
          <w:rFonts w:ascii="Times New Roman" w:hAnsi="Times New Roman" w:eastAsia="仿宋" w:cs="Times New Roman"/>
          <w:sz w:val="32"/>
          <w:szCs w:val="32"/>
        </w:rPr>
        <w:t>10</w:t>
      </w:r>
      <w:r>
        <w:rPr>
          <w:rFonts w:ascii="Times New Roman" w:hAnsi="仿宋" w:eastAsia="仿宋" w:cs="Times New Roman"/>
          <w:sz w:val="32"/>
          <w:szCs w:val="32"/>
        </w:rPr>
        <w:t>万元）收费比例为</w:t>
      </w:r>
      <w:r>
        <w:rPr>
          <w:rFonts w:ascii="Times New Roman" w:hAnsi="Times New Roman" w:eastAsia="仿宋" w:cs="Times New Roman"/>
          <w:sz w:val="32"/>
          <w:szCs w:val="32"/>
        </w:rPr>
        <w:t>8%-18%</w:t>
      </w:r>
      <w:r>
        <w:rPr>
          <w:rFonts w:ascii="Times New Roman" w:hAnsi="仿宋" w:eastAsia="仿宋" w:cs="Times New Roman"/>
          <w:sz w:val="32"/>
          <w:szCs w:val="32"/>
        </w:rPr>
        <w:t>，收费额不足</w:t>
      </w:r>
      <w:r>
        <w:rPr>
          <w:rFonts w:ascii="Times New Roman" w:hAnsi="Times New Roman" w:eastAsia="仿宋" w:cs="Times New Roman"/>
          <w:sz w:val="32"/>
          <w:szCs w:val="32"/>
        </w:rPr>
        <w:t>5000</w:t>
      </w:r>
      <w:r>
        <w:rPr>
          <w:rFonts w:ascii="Times New Roman" w:hAnsi="仿宋" w:eastAsia="仿宋" w:cs="Times New Roman"/>
          <w:sz w:val="32"/>
          <w:szCs w:val="32"/>
        </w:rPr>
        <w:t>元的按</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件收取；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10</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万元部分（含</w:t>
      </w:r>
      <w:r>
        <w:rPr>
          <w:rFonts w:ascii="Times New Roman" w:hAnsi="Times New Roman" w:eastAsia="仿宋" w:cs="Times New Roman"/>
          <w:sz w:val="32"/>
          <w:szCs w:val="32"/>
        </w:rPr>
        <w:t>50</w:t>
      </w:r>
      <w:r>
        <w:rPr>
          <w:rFonts w:ascii="Times New Roman" w:hAnsi="仿宋" w:eastAsia="仿宋" w:cs="Times New Roman"/>
          <w:sz w:val="32"/>
          <w:szCs w:val="32"/>
        </w:rPr>
        <w:t>万元）为</w:t>
      </w:r>
      <w:r>
        <w:rPr>
          <w:rFonts w:ascii="Times New Roman" w:hAnsi="Times New Roman" w:eastAsia="仿宋" w:cs="Times New Roman"/>
          <w:sz w:val="32"/>
          <w:szCs w:val="32"/>
        </w:rPr>
        <w:t>7%-12%</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50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万元部分（含</w:t>
      </w:r>
      <w:r>
        <w:rPr>
          <w:rFonts w:ascii="Times New Roman" w:hAnsi="Times New Roman" w:eastAsia="仿宋" w:cs="Times New Roman"/>
          <w:sz w:val="32"/>
          <w:szCs w:val="32"/>
        </w:rPr>
        <w:t>100</w:t>
      </w:r>
      <w:r>
        <w:rPr>
          <w:rFonts w:ascii="Times New Roman" w:hAnsi="仿宋" w:eastAsia="仿宋" w:cs="Times New Roman"/>
          <w:sz w:val="32"/>
          <w:szCs w:val="32"/>
        </w:rPr>
        <w:t>万元）为</w:t>
      </w:r>
      <w:r>
        <w:rPr>
          <w:rFonts w:ascii="Times New Roman" w:hAnsi="Times New Roman" w:eastAsia="仿宋" w:cs="Times New Roman"/>
          <w:sz w:val="32"/>
          <w:szCs w:val="32"/>
        </w:rPr>
        <w:t>6%-10%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万元部分（含</w:t>
      </w:r>
      <w:r>
        <w:rPr>
          <w:rFonts w:ascii="Times New Roman" w:hAnsi="Times New Roman" w:eastAsia="仿宋" w:cs="Times New Roman"/>
          <w:sz w:val="32"/>
          <w:szCs w:val="32"/>
        </w:rPr>
        <w:t>500</w:t>
      </w:r>
      <w:r>
        <w:rPr>
          <w:rFonts w:ascii="Times New Roman" w:hAnsi="仿宋" w:eastAsia="仿宋" w:cs="Times New Roman"/>
          <w:sz w:val="32"/>
          <w:szCs w:val="32"/>
        </w:rPr>
        <w:t>万元）为</w:t>
      </w:r>
      <w:r>
        <w:rPr>
          <w:rFonts w:ascii="Times New Roman" w:hAnsi="Times New Roman" w:eastAsia="仿宋" w:cs="Times New Roman"/>
          <w:sz w:val="32"/>
          <w:szCs w:val="32"/>
        </w:rPr>
        <w:t>5%-9%</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万元）为</w:t>
      </w:r>
      <w:r>
        <w:rPr>
          <w:rFonts w:ascii="Times New Roman" w:hAnsi="Times New Roman" w:eastAsia="仿宋" w:cs="Times New Roman"/>
          <w:sz w:val="32"/>
          <w:szCs w:val="32"/>
        </w:rPr>
        <w:t>4%-8%</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 1000</w:t>
      </w:r>
      <w:r>
        <w:rPr>
          <w:rFonts w:ascii="Times New Roman" w:hAnsi="仿宋" w:eastAsia="仿宋" w:cs="Times New Roman"/>
          <w:sz w:val="32"/>
          <w:szCs w:val="32"/>
        </w:rPr>
        <w:t>万元至</w:t>
      </w:r>
      <w:r>
        <w:rPr>
          <w:rFonts w:ascii="Times New Roman" w:hAnsi="Times New Roman" w:eastAsia="仿宋" w:cs="Times New Roman"/>
          <w:sz w:val="32"/>
          <w:szCs w:val="32"/>
        </w:rPr>
        <w:t>2000</w:t>
      </w:r>
      <w:r>
        <w:rPr>
          <w:rFonts w:ascii="Times New Roman" w:hAnsi="仿宋" w:eastAsia="仿宋" w:cs="Times New Roman"/>
          <w:sz w:val="32"/>
          <w:szCs w:val="32"/>
        </w:rPr>
        <w:t>万元部分（含</w:t>
      </w:r>
      <w:r>
        <w:rPr>
          <w:rFonts w:ascii="Times New Roman" w:hAnsi="Times New Roman" w:eastAsia="仿宋" w:cs="Times New Roman"/>
          <w:sz w:val="32"/>
          <w:szCs w:val="32"/>
        </w:rPr>
        <w:t>2000</w:t>
      </w:r>
      <w:r>
        <w:rPr>
          <w:rFonts w:ascii="Times New Roman" w:hAnsi="仿宋" w:eastAsia="仿宋" w:cs="Times New Roman"/>
          <w:sz w:val="32"/>
          <w:szCs w:val="32"/>
        </w:rPr>
        <w:t>万元）为</w:t>
      </w:r>
      <w:r>
        <w:rPr>
          <w:rFonts w:ascii="Times New Roman" w:hAnsi="Times New Roman" w:eastAsia="仿宋" w:cs="Times New Roman"/>
          <w:sz w:val="32"/>
          <w:szCs w:val="32"/>
        </w:rPr>
        <w:t>3%-6%</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 2000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万元部分（含</w:t>
      </w:r>
      <w:r>
        <w:rPr>
          <w:rFonts w:ascii="Times New Roman" w:hAnsi="Times New Roman" w:eastAsia="仿宋" w:cs="Times New Roman"/>
          <w:sz w:val="32"/>
          <w:szCs w:val="32"/>
        </w:rPr>
        <w:t>5000</w:t>
      </w:r>
      <w:r>
        <w:rPr>
          <w:rFonts w:ascii="Times New Roman" w:hAnsi="仿宋" w:eastAsia="仿宋" w:cs="Times New Roman"/>
          <w:sz w:val="32"/>
          <w:szCs w:val="32"/>
        </w:rPr>
        <w:t>万元）为</w:t>
      </w:r>
      <w:r>
        <w:rPr>
          <w:rFonts w:ascii="Times New Roman" w:hAnsi="Times New Roman" w:eastAsia="仿宋" w:cs="Times New Roman"/>
          <w:sz w:val="32"/>
          <w:szCs w:val="32"/>
        </w:rPr>
        <w:t>2%-4%</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 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上述两项收费标准是代理民事诉讼案件（包括律师代理刑事附带民事诉讼部分的案件）一审阶段的收费标准。单独代理二审、再审、发回重审一审、发回重审二审案件的，或者代理仲裁案件，或者代理不予执行或撤销仲裁裁决书的，按照上述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的优惠。同时代理本诉、本请求和反诉、反请求案件的，反诉、反请求按标的额以民事诉讼案件一审阶段的收费标准酌减收费，酌减比例不超过</w:t>
      </w:r>
      <w:r>
        <w:rPr>
          <w:rFonts w:ascii="Times New Roman" w:hAnsi="Times New Roman" w:eastAsia="仿宋" w:cs="Times New Roman"/>
          <w:sz w:val="32"/>
          <w:szCs w:val="32"/>
        </w:rPr>
        <w:t>50%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涉外（含涉港、澳、台）案件的收费标准，原则上按照民事诉讼案件一审阶段的收费标准上浮</w:t>
      </w:r>
      <w:r>
        <w:rPr>
          <w:rFonts w:ascii="Times New Roman" w:hAnsi="Times New Roman" w:eastAsia="仿宋" w:cs="Times New Roman"/>
          <w:sz w:val="32"/>
          <w:szCs w:val="32"/>
        </w:rPr>
        <w:t>50%-100%</w:t>
      </w:r>
      <w:r>
        <w:rPr>
          <w:rFonts w:ascii="Times New Roman" w:hAnsi="仿宋" w:eastAsia="仿宋" w:cs="Times New Roman"/>
          <w:sz w:val="32"/>
          <w:szCs w:val="32"/>
        </w:rPr>
        <w:t>执行。如果涉及到多语种法律服务的，可以在上述标准基础上再上浮不超过</w:t>
      </w:r>
      <w:r>
        <w:rPr>
          <w:rFonts w:ascii="Times New Roman" w:hAnsi="Times New Roman" w:eastAsia="仿宋" w:cs="Times New Roman"/>
          <w:sz w:val="32"/>
          <w:szCs w:val="32"/>
        </w:rPr>
        <w:t xml:space="preserve">   2</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民事诉讼、仲裁案件可以实行风险代理收费。涉及财产关系的，风险代理各个环节收取的服务费合计最高金额应当符合下列规定：</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万元的部分，风险收费比例为</w:t>
      </w:r>
      <w:r>
        <w:rPr>
          <w:rFonts w:ascii="Times New Roman" w:hAnsi="Times New Roman" w:eastAsia="仿宋" w:cs="Times New Roman"/>
          <w:sz w:val="32"/>
          <w:szCs w:val="32"/>
        </w:rPr>
        <w:t>8%-18%</w:t>
      </w:r>
      <w:r>
        <w:rPr>
          <w:rFonts w:ascii="Times New Roman" w:hAnsi="仿宋" w:eastAsia="仿宋" w:cs="Times New Roman"/>
          <w:sz w:val="32"/>
          <w:szCs w:val="32"/>
        </w:rPr>
        <w:t>；标的额在人民币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万元的部分，风险收费比例为</w:t>
      </w:r>
      <w:r>
        <w:rPr>
          <w:rFonts w:ascii="Times New Roman" w:hAnsi="Times New Roman" w:eastAsia="仿宋" w:cs="Times New Roman"/>
          <w:sz w:val="32"/>
          <w:szCs w:val="32"/>
        </w:rPr>
        <w:t>7%-15%</w:t>
      </w:r>
      <w:r>
        <w:rPr>
          <w:rFonts w:ascii="Times New Roman" w:hAnsi="仿宋" w:eastAsia="仿宋" w:cs="Times New Roman"/>
          <w:sz w:val="32"/>
          <w:szCs w:val="32"/>
        </w:rPr>
        <w:t>；标的额在人民币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万元的部分，风险收费比例为</w:t>
      </w:r>
      <w:r>
        <w:rPr>
          <w:rFonts w:ascii="Times New Roman" w:hAnsi="Times New Roman" w:eastAsia="仿宋" w:cs="Times New Roman"/>
          <w:sz w:val="32"/>
          <w:szCs w:val="32"/>
        </w:rPr>
        <w:t>5%-12%</w:t>
      </w:r>
      <w:r>
        <w:rPr>
          <w:rFonts w:ascii="Times New Roman" w:hAnsi="仿宋" w:eastAsia="仿宋" w:cs="Times New Roman"/>
          <w:sz w:val="32"/>
          <w:szCs w:val="32"/>
        </w:rPr>
        <w:t>；标的额在人民币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万元的部分，风险收费比例为</w:t>
      </w:r>
      <w:r>
        <w:rPr>
          <w:rFonts w:ascii="Times New Roman" w:hAnsi="Times New Roman" w:eastAsia="仿宋" w:cs="Times New Roman"/>
          <w:sz w:val="32"/>
          <w:szCs w:val="32"/>
        </w:rPr>
        <w:t>4%-9%</w:t>
      </w:r>
      <w:r>
        <w:rPr>
          <w:rFonts w:ascii="Times New Roman" w:hAnsi="仿宋" w:eastAsia="仿宋" w:cs="Times New Roman"/>
          <w:sz w:val="32"/>
          <w:szCs w:val="32"/>
        </w:rPr>
        <w:t>；标的额在人民币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万元以上的部分，风险收费比例为</w:t>
      </w:r>
      <w:r>
        <w:rPr>
          <w:rFonts w:ascii="Times New Roman" w:hAnsi="Times New Roman" w:eastAsia="仿宋" w:cs="Times New Roman"/>
          <w:sz w:val="32"/>
          <w:szCs w:val="32"/>
        </w:rPr>
        <w:t>3%-6%</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b/>
          <w:sz w:val="32"/>
          <w:szCs w:val="32"/>
        </w:rPr>
      </w:pPr>
      <w:r>
        <w:rPr>
          <w:rFonts w:ascii="Times New Roman" w:hAnsi="仿宋" w:eastAsia="仿宋" w:cs="Times New Roman"/>
          <w:b/>
          <w:sz w:val="32"/>
          <w:szCs w:val="32"/>
        </w:rPr>
        <w:t>根据相关规定，刑事诉讼案件、行政诉讼案件、国家赔偿案件、群体性诉讼案件、婚姻继承案件，以及请求给予社会保险待遇、最低生活保障待遇、赡养费、抚养费、扶养费、抚恤金、救济金、工伤赔偿、劳动报酬的案件不得实行或者变相实行风险代理。</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民事诉讼、仲裁案件可以采取计时方式收取律师费。计时收费的标准为</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- 1000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小时；第</w:t>
      </w:r>
      <w:r>
        <w:rPr>
          <w:rFonts w:ascii="Times New Roman" w:hAnsi="Times New Roman" w:eastAsia="仿宋" w:cs="Times New Roman"/>
          <w:sz w:val="32"/>
          <w:szCs w:val="32"/>
        </w:rPr>
        <w:t>4</w:t>
      </w:r>
      <w:r>
        <w:rPr>
          <w:rFonts w:ascii="Times New Roman" w:hAnsi="仿宋" w:eastAsia="仿宋" w:cs="Times New Roman"/>
          <w:sz w:val="32"/>
          <w:szCs w:val="32"/>
        </w:rPr>
        <w:t>款规定的涉外（含涉港、澳、台）案件及第</w:t>
      </w:r>
      <w:r>
        <w:rPr>
          <w:rFonts w:ascii="Times New Roman" w:hAnsi="Times New Roman" w:eastAsia="仿宋" w:cs="Times New Roman"/>
          <w:sz w:val="32"/>
          <w:szCs w:val="32"/>
        </w:rPr>
        <w:t xml:space="preserve">5 </w:t>
      </w:r>
      <w:r>
        <w:rPr>
          <w:rFonts w:ascii="Times New Roman" w:hAnsi="仿宋" w:eastAsia="仿宋" w:cs="Times New Roman"/>
          <w:sz w:val="32"/>
          <w:szCs w:val="32"/>
        </w:rPr>
        <w:t>款规定的重大、疑难、复杂及律师工作量大的民事诉讼、仲裁案件，可以在前述收费标准基础上再上浮不超过</w:t>
      </w:r>
      <w:r>
        <w:rPr>
          <w:rFonts w:ascii="Times New Roman" w:hAnsi="Times New Roman" w:eastAsia="仿宋" w:cs="Times New Roman"/>
          <w:sz w:val="32"/>
          <w:szCs w:val="32"/>
        </w:rPr>
        <w:t xml:space="preserve"> 3 </w:t>
      </w:r>
      <w:r>
        <w:rPr>
          <w:rFonts w:ascii="Times New Roman" w:hAnsi="仿宋" w:eastAsia="仿宋" w:cs="Times New Roman"/>
          <w:sz w:val="32"/>
          <w:szCs w:val="32"/>
        </w:rPr>
        <w:t>倍收费。</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采取计时方式收取法律服务费的，律师向委托人了解案情、调查取证、查阅案卷、起草诉讼文书和法律文件、会见被限制人身自由的人员、出庭、参与调解和谈判、商议工作方案、代办各类手续以及办理其他相关法律事务的必要时间应当计入计时范围；律师在本地办理法律事务的路途时间、律师乘坐交通工具去外地办理委托事项所花费的时间及必要停留时间减半计入计时范围。律师应当及时、准确填写工作日志形成计时清单，报送委托人的计时清单应当经过主管合伙人或者事务所负责人审核。</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承办律师为二人以上的，以各自的计费标准和计费工作时间分别计算。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执行案件：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单独承办的执行案件，根据执行标的额，按一审阶段收费标准收费；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曾承办一审或二审的案件，根据执行标的额，按一审阶段收费标准优惠</w:t>
      </w:r>
      <w:r>
        <w:rPr>
          <w:rFonts w:ascii="Times New Roman" w:hAnsi="Times New Roman" w:eastAsia="仿宋" w:cs="Times New Roman"/>
          <w:sz w:val="32"/>
          <w:szCs w:val="32"/>
        </w:rPr>
        <w:t>5%- 10%</w:t>
      </w:r>
      <w:r>
        <w:rPr>
          <w:rFonts w:ascii="Times New Roman" w:hAnsi="仿宋" w:eastAsia="仿宋" w:cs="Times New Roman"/>
          <w:sz w:val="32"/>
          <w:szCs w:val="32"/>
        </w:rPr>
        <w:t>收费。执行难度很大，执行程序复杂的重大执行案件，按一审阶段收费标准</w:t>
      </w:r>
      <w:r>
        <w:rPr>
          <w:rFonts w:ascii="Times New Roman" w:hAnsi="Times New Roman" w:eastAsia="仿宋" w:cs="Times New Roman"/>
          <w:sz w:val="32"/>
          <w:szCs w:val="32"/>
        </w:rPr>
        <w:t xml:space="preserve"> 2 </w:t>
      </w:r>
      <w:r>
        <w:rPr>
          <w:rFonts w:ascii="Times New Roman" w:hAnsi="仿宋" w:eastAsia="仿宋" w:cs="Times New Roman"/>
          <w:sz w:val="32"/>
          <w:szCs w:val="32"/>
        </w:rPr>
        <w:t>倍收费；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代理执行案件亦可按照第</w:t>
      </w:r>
      <w:r>
        <w:rPr>
          <w:rFonts w:ascii="Times New Roman" w:hAnsi="Times New Roman" w:eastAsia="仿宋" w:cs="Times New Roman"/>
          <w:sz w:val="32"/>
          <w:szCs w:val="32"/>
        </w:rPr>
        <w:t>6</w:t>
      </w:r>
      <w:r>
        <w:rPr>
          <w:rFonts w:ascii="Times New Roman" w:hAnsi="仿宋" w:eastAsia="仿宋" w:cs="Times New Roman"/>
          <w:sz w:val="32"/>
          <w:szCs w:val="32"/>
        </w:rPr>
        <w:t>条收费标准进行风险代理或计时收费</w:t>
      </w:r>
      <w:r>
        <w:rPr>
          <w:rFonts w:ascii="Times New Roman" w:hAnsi="Times New Roman" w:eastAsia="仿宋" w:cs="Times New Roman"/>
          <w:sz w:val="32"/>
          <w:szCs w:val="32"/>
        </w:rPr>
        <w:t>,</w:t>
      </w:r>
      <w:r>
        <w:rPr>
          <w:rFonts w:ascii="Times New Roman" w:hAnsi="仿宋" w:eastAsia="仿宋" w:cs="Times New Roman"/>
          <w:sz w:val="32"/>
          <w:szCs w:val="32"/>
        </w:rPr>
        <w:t>不能采用风险代理的除外。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 xml:space="preserve"> 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 xml:space="preserve"> 3 </w:t>
      </w:r>
      <w:r>
        <w:rPr>
          <w:rFonts w:ascii="Times New Roman" w:hAnsi="仿宋" w:eastAsia="仿宋" w:cs="Times New Roman"/>
          <w:sz w:val="32"/>
          <w:szCs w:val="32"/>
        </w:rPr>
        <w:t>倍收费，亦可按上述规定进行风险代理或者计时收费，不能采用风险代理的除外。</w:t>
      </w:r>
    </w:p>
    <w:p>
      <w:pPr>
        <w:pStyle w:val="6"/>
        <w:spacing w:before="0" w:beforeAutospacing="0" w:after="0" w:afterAutospacing="0" w:line="520" w:lineRule="exact"/>
        <w:ind w:firstLine="643" w:firstLineChars="200"/>
        <w:jc w:val="both"/>
        <w:rPr>
          <w:rFonts w:ascii="Times New Roman" w:hAnsi="Times New Roman" w:eastAsia="仿宋" w:cs="Times New Roman"/>
          <w:b/>
          <w:bCs/>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b/>
          <w:bCs/>
          <w:sz w:val="32"/>
          <w:szCs w:val="32"/>
        </w:rPr>
        <w:t>代理行政案件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代理行政诉讼一审、二审、发回重审、复议、听证等案件的收费标准，参照上述民事案件的收费标准执行，但不得适用风险代理收费。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代理行政案件的申诉，参照民事申诉案件的收费标准执行，但不得适用风险代理收费。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b/>
          <w:bCs/>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b/>
          <w:bCs/>
          <w:sz w:val="32"/>
          <w:szCs w:val="32"/>
        </w:rPr>
        <w:t>代理非诉讼业务</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代理非诉讼业务可采取计时收费、计件收费或按涉及金额收费。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计时收费的标准为</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w:t>
      </w:r>
      <w:r>
        <w:rPr>
          <w:rFonts w:ascii="Times New Roman" w:hAnsi="仿宋" w:eastAsia="仿宋" w:cs="Times New Roman"/>
          <w:sz w:val="32"/>
          <w:szCs w:val="32"/>
        </w:rPr>
        <w:t>小时，涉外或疑难、复杂及律师工作量大的法律服务项目可以在前述标准基础上再上浮不超过</w:t>
      </w:r>
      <w:r>
        <w:rPr>
          <w:rFonts w:ascii="Times New Roman" w:hAnsi="Times New Roman" w:eastAsia="仿宋" w:cs="Times New Roman"/>
          <w:sz w:val="32"/>
          <w:szCs w:val="32"/>
        </w:rPr>
        <w:t xml:space="preserve"> 2 </w:t>
      </w:r>
      <w:r>
        <w:rPr>
          <w:rFonts w:ascii="Times New Roman" w:hAnsi="仿宋" w:eastAsia="仿宋" w:cs="Times New Roman"/>
          <w:sz w:val="32"/>
          <w:szCs w:val="32"/>
        </w:rPr>
        <w:t>倍收费。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计件收费的，按以下标准收取。委托人和本所可以根据涉及金额大小和项目复杂程度及律师工作量大小在以下收费的基础上合理上浮，但上浮不得超过以下收费标准的</w:t>
      </w:r>
      <w:r>
        <w:rPr>
          <w:rFonts w:ascii="Times New Roman" w:hAnsi="Times New Roman" w:eastAsia="仿宋" w:cs="Times New Roman"/>
          <w:sz w:val="32"/>
          <w:szCs w:val="32"/>
        </w:rPr>
        <w:t xml:space="preserve">  3 </w:t>
      </w:r>
      <w:r>
        <w:rPr>
          <w:rFonts w:ascii="Times New Roman" w:hAnsi="仿宋" w:eastAsia="仿宋" w:cs="Times New Roman"/>
          <w:sz w:val="32"/>
          <w:szCs w:val="32"/>
        </w:rPr>
        <w:t>倍。</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法律咨询，在</w:t>
      </w:r>
      <w:r>
        <w:rPr>
          <w:rFonts w:ascii="Times New Roman" w:hAnsi="Times New Roman" w:eastAsia="仿宋" w:cs="Times New Roman"/>
          <w:sz w:val="32"/>
          <w:szCs w:val="32"/>
        </w:rPr>
        <w:t>100</w:t>
      </w:r>
      <w:r>
        <w:rPr>
          <w:rFonts w:ascii="Times New Roman" w:hAnsi="仿宋" w:eastAsia="仿宋" w:cs="Times New Roman"/>
          <w:sz w:val="32"/>
          <w:szCs w:val="32"/>
        </w:rPr>
        <w:t>元</w:t>
      </w:r>
      <w:r>
        <w:rPr>
          <w:rFonts w:ascii="Times New Roman" w:hAnsi="Times New Roman" w:eastAsia="仿宋" w:cs="Times New Roman"/>
          <w:sz w:val="32"/>
          <w:szCs w:val="32"/>
        </w:rPr>
        <w:t>-300</w:t>
      </w:r>
      <w:r>
        <w:rPr>
          <w:rFonts w:ascii="Times New Roman" w:hAnsi="仿宋" w:eastAsia="仿宋" w:cs="Times New Roman"/>
          <w:sz w:val="32"/>
          <w:szCs w:val="32"/>
        </w:rPr>
        <w:t>元之间收取；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简单的合同修改</w:t>
      </w:r>
      <w:r>
        <w:rPr>
          <w:rFonts w:ascii="Times New Roman" w:hAnsi="Times New Roman" w:eastAsia="仿宋" w:cs="Times New Roman"/>
          <w:sz w:val="32"/>
          <w:szCs w:val="32"/>
        </w:rPr>
        <w:t xml:space="preserve">, </w:t>
      </w:r>
      <w:r>
        <w:rPr>
          <w:rFonts w:ascii="Times New Roman" w:hAnsi="仿宋" w:eastAsia="仿宋" w:cs="Times New Roman"/>
          <w:sz w:val="32"/>
          <w:szCs w:val="32"/>
        </w:rPr>
        <w:t>在</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-2000</w:t>
      </w:r>
      <w:r>
        <w:rPr>
          <w:rFonts w:ascii="Times New Roman" w:hAnsi="仿宋" w:eastAsia="仿宋" w:cs="Times New Roman"/>
          <w:sz w:val="32"/>
          <w:szCs w:val="32"/>
        </w:rPr>
        <w:t>元之间收取；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起草合同或者修改比较复杂的合同，在</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-5000</w:t>
      </w:r>
      <w:r>
        <w:rPr>
          <w:rFonts w:ascii="Times New Roman" w:hAnsi="仿宋" w:eastAsia="仿宋" w:cs="Times New Roman"/>
          <w:sz w:val="32"/>
          <w:szCs w:val="32"/>
        </w:rPr>
        <w:t>元之间收取；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参加简单的项目谈判，在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-5</w:t>
      </w:r>
      <w:r>
        <w:rPr>
          <w:rFonts w:ascii="Times New Roman" w:hAnsi="仿宋" w:eastAsia="仿宋" w:cs="Times New Roman"/>
          <w:sz w:val="32"/>
          <w:szCs w:val="32"/>
        </w:rPr>
        <w:t>万元之间收取；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发布律师函，在</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-2000</w:t>
      </w:r>
      <w:r>
        <w:rPr>
          <w:rFonts w:ascii="Times New Roman" w:hAnsi="仿宋" w:eastAsia="仿宋" w:cs="Times New Roman"/>
          <w:sz w:val="32"/>
          <w:szCs w:val="32"/>
        </w:rPr>
        <w:t>元之间收取；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(6) </w:t>
      </w:r>
      <w:r>
        <w:rPr>
          <w:rFonts w:ascii="Times New Roman" w:hAnsi="仿宋" w:eastAsia="仿宋" w:cs="Times New Roman"/>
          <w:sz w:val="32"/>
          <w:szCs w:val="32"/>
        </w:rPr>
        <w:t>尽职调查、出具法律意见书，在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-6</w:t>
      </w:r>
      <w:r>
        <w:rPr>
          <w:rFonts w:ascii="Times New Roman" w:hAnsi="仿宋" w:eastAsia="仿宋" w:cs="Times New Roman"/>
          <w:sz w:val="32"/>
          <w:szCs w:val="32"/>
        </w:rPr>
        <w:t>万元之间收取。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投资融资、改制上市、兼并重组、清算注销、重大工程建设、涉外业务等需要进行较为全面的尽职调查、设计交易结构、参与项目谈判、起草主要交易文件或者出具法律意见书等非诉讼法律服务项目，按照所涉及金额分段按比例累加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(1)100</w:t>
      </w:r>
      <w:r>
        <w:rPr>
          <w:rFonts w:ascii="Times New Roman" w:hAnsi="仿宋" w:eastAsia="仿宋" w:cs="Times New Roman"/>
          <w:sz w:val="32"/>
          <w:szCs w:val="32"/>
        </w:rPr>
        <w:t>万元以下部分（含</w:t>
      </w:r>
      <w:r>
        <w:rPr>
          <w:rFonts w:ascii="Times New Roman" w:hAnsi="Times New Roman" w:eastAsia="仿宋" w:cs="Times New Roman"/>
          <w:sz w:val="32"/>
          <w:szCs w:val="32"/>
        </w:rPr>
        <w:t>100</w:t>
      </w:r>
      <w:r>
        <w:rPr>
          <w:rFonts w:ascii="Times New Roman" w:hAnsi="仿宋" w:eastAsia="仿宋" w:cs="Times New Roman"/>
          <w:sz w:val="32"/>
          <w:szCs w:val="32"/>
        </w:rPr>
        <w:t>万元）收费</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-15</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(2)100</w:t>
      </w:r>
      <w:r>
        <w:rPr>
          <w:rFonts w:ascii="Times New Roman" w:hAnsi="仿宋" w:eastAsia="仿宋" w:cs="Times New Roman"/>
          <w:sz w:val="32"/>
          <w:szCs w:val="32"/>
        </w:rPr>
        <w:t>万元至</w:t>
      </w:r>
      <w:r>
        <w:rPr>
          <w:rFonts w:ascii="Times New Roman" w:hAnsi="Times New Roman" w:eastAsia="仿宋" w:cs="Times New Roman"/>
          <w:sz w:val="32"/>
          <w:szCs w:val="32"/>
        </w:rPr>
        <w:t>500</w:t>
      </w:r>
      <w:r>
        <w:rPr>
          <w:rFonts w:ascii="Times New Roman" w:hAnsi="仿宋" w:eastAsia="仿宋" w:cs="Times New Roman"/>
          <w:sz w:val="32"/>
          <w:szCs w:val="32"/>
        </w:rPr>
        <w:t>万元部分（含</w:t>
      </w:r>
      <w:r>
        <w:rPr>
          <w:rFonts w:ascii="Times New Roman" w:hAnsi="Times New Roman" w:eastAsia="仿宋" w:cs="Times New Roman"/>
          <w:sz w:val="32"/>
          <w:szCs w:val="32"/>
        </w:rPr>
        <w:t>500</w:t>
      </w:r>
      <w:r>
        <w:rPr>
          <w:rFonts w:ascii="Times New Roman" w:hAnsi="仿宋" w:eastAsia="仿宋" w:cs="Times New Roman"/>
          <w:sz w:val="32"/>
          <w:szCs w:val="32"/>
        </w:rPr>
        <w:t>万元）为</w:t>
      </w:r>
      <w:r>
        <w:rPr>
          <w:rFonts w:ascii="Times New Roman" w:hAnsi="Times New Roman" w:eastAsia="仿宋" w:cs="Times New Roman"/>
          <w:sz w:val="32"/>
          <w:szCs w:val="32"/>
        </w:rPr>
        <w:t>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万元部分（含</w:t>
      </w:r>
      <w:r>
        <w:rPr>
          <w:rFonts w:ascii="Times New Roman" w:hAnsi="Times New Roman" w:eastAsia="仿宋" w:cs="Times New Roman"/>
          <w:sz w:val="32"/>
          <w:szCs w:val="32"/>
        </w:rPr>
        <w:t>1000</w:t>
      </w:r>
      <w:r>
        <w:rPr>
          <w:rFonts w:ascii="Times New Roman" w:hAnsi="仿宋" w:eastAsia="仿宋" w:cs="Times New Roman"/>
          <w:sz w:val="32"/>
          <w:szCs w:val="32"/>
        </w:rPr>
        <w:t>万元）为</w:t>
      </w:r>
      <w:r>
        <w:rPr>
          <w:rFonts w:ascii="Times New Roman" w:hAnsi="Times New Roman" w:eastAsia="仿宋" w:cs="Times New Roman"/>
          <w:sz w:val="32"/>
          <w:szCs w:val="32"/>
        </w:rPr>
        <w:t>3%</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万元部分（含</w:t>
      </w:r>
      <w:r>
        <w:rPr>
          <w:rFonts w:ascii="Times New Roman" w:hAnsi="Times New Roman" w:eastAsia="仿宋" w:cs="Times New Roman"/>
          <w:sz w:val="32"/>
          <w:szCs w:val="32"/>
        </w:rPr>
        <w:t>5000</w:t>
      </w:r>
      <w:r>
        <w:rPr>
          <w:rFonts w:ascii="Times New Roman" w:hAnsi="仿宋" w:eastAsia="仿宋" w:cs="Times New Roman"/>
          <w:sz w:val="32"/>
          <w:szCs w:val="32"/>
        </w:rPr>
        <w:t>万元）为</w:t>
      </w:r>
      <w:r>
        <w:rPr>
          <w:rFonts w:ascii="Times New Roman" w:hAnsi="Times New Roman" w:eastAsia="仿宋" w:cs="Times New Roman"/>
          <w:sz w:val="32"/>
          <w:szCs w:val="32"/>
        </w:rPr>
        <w:t>2%</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(5)5000</w:t>
      </w:r>
      <w:r>
        <w:rPr>
          <w:rFonts w:ascii="Times New Roman" w:hAnsi="仿宋" w:eastAsia="仿宋" w:cs="Times New Roman"/>
          <w:sz w:val="32"/>
          <w:szCs w:val="32"/>
        </w:rPr>
        <w:t>万元至</w:t>
      </w:r>
      <w:r>
        <w:rPr>
          <w:rFonts w:ascii="Times New Roman" w:hAnsi="Times New Roman" w:eastAsia="仿宋" w:cs="Times New Roman"/>
          <w:sz w:val="32"/>
          <w:szCs w:val="32"/>
        </w:rPr>
        <w:t xml:space="preserve"> 1</w:t>
      </w:r>
      <w:r>
        <w:rPr>
          <w:rFonts w:ascii="Times New Roman" w:hAnsi="仿宋" w:eastAsia="仿宋" w:cs="Times New Roman"/>
          <w:sz w:val="32"/>
          <w:szCs w:val="32"/>
        </w:rPr>
        <w:t>亿元部分（含</w:t>
      </w:r>
      <w:r>
        <w:rPr>
          <w:rFonts w:ascii="Times New Roman" w:hAnsi="Times New Roman" w:eastAsia="仿宋" w:cs="Times New Roman"/>
          <w:sz w:val="32"/>
          <w:szCs w:val="32"/>
        </w:rPr>
        <w:t xml:space="preserve"> 1</w:t>
      </w:r>
      <w:r>
        <w:rPr>
          <w:rFonts w:ascii="Times New Roman" w:hAnsi="仿宋" w:eastAsia="仿宋" w:cs="Times New Roman"/>
          <w:sz w:val="32"/>
          <w:szCs w:val="32"/>
        </w:rPr>
        <w:t>亿元）为</w:t>
      </w:r>
      <w:r>
        <w:rPr>
          <w:rFonts w:ascii="Times New Roman" w:hAnsi="Times New Roman" w:eastAsia="仿宋" w:cs="Times New Roman"/>
          <w:sz w:val="32"/>
          <w:szCs w:val="32"/>
        </w:rPr>
        <w:t>0.9%</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w:t>
      </w:r>
      <w:r>
        <w:rPr>
          <w:rFonts w:ascii="Times New Roman" w:hAnsi="仿宋" w:eastAsia="仿宋" w:cs="Times New Roman"/>
          <w:sz w:val="32"/>
          <w:szCs w:val="32"/>
        </w:rPr>
        <w:t>亿元以上部分为</w:t>
      </w:r>
      <w:r>
        <w:rPr>
          <w:rFonts w:ascii="Times New Roman" w:hAnsi="Times New Roman" w:eastAsia="仿宋" w:cs="Times New Roman"/>
          <w:sz w:val="32"/>
          <w:szCs w:val="32"/>
        </w:rPr>
        <w:t>0.5%</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kern w:val="0"/>
          <w:sz w:val="32"/>
          <w:szCs w:val="32"/>
        </w:rPr>
        <w:t>第十一条</w:t>
      </w:r>
      <w:r>
        <w:rPr>
          <w:rFonts w:ascii="Times New Roman" w:hAnsi="Times New Roman" w:eastAsia="仿宋" w:cs="Times New Roman"/>
          <w:b/>
          <w:bCs/>
          <w:kern w:val="0"/>
          <w:sz w:val="32"/>
          <w:szCs w:val="32"/>
        </w:rPr>
        <w:t xml:space="preserve"> </w:t>
      </w:r>
      <w:r>
        <w:rPr>
          <w:rFonts w:ascii="Times New Roman" w:hAnsi="仿宋" w:eastAsia="仿宋" w:cs="Times New Roman"/>
          <w:b/>
          <w:bCs/>
          <w:kern w:val="0"/>
          <w:sz w:val="32"/>
          <w:szCs w:val="32"/>
        </w:rPr>
        <w:t>担任常年法律顾问</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担任国家机关、企事业单位、其他组织以及自然人常年法律顾问采取年度固定收费。</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根据预计的律师工作时间、顾问单位上年度营业额、顾问单位法律风险程度、律师事务所成本、律师法律服务水平及律师工作量等因素确定年度收费额，按照</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年标准收取。根据服务对象具体情况，收费标准可适当合理上浮，上浮比例不超过</w:t>
      </w:r>
      <w:r>
        <w:rPr>
          <w:rFonts w:ascii="Times New Roman" w:hAnsi="Times New Roman" w:eastAsia="仿宋" w:cs="Times New Roman"/>
          <w:sz w:val="32"/>
          <w:szCs w:val="32"/>
        </w:rPr>
        <w:t>100%</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kern w:val="0"/>
          <w:sz w:val="32"/>
          <w:szCs w:val="32"/>
        </w:rPr>
        <w:t>第十二条</w:t>
      </w:r>
      <w:r>
        <w:rPr>
          <w:rFonts w:ascii="Times New Roman" w:hAnsi="Times New Roman" w:eastAsia="仿宋" w:cs="Times New Roman"/>
          <w:b/>
          <w:bCs/>
          <w:kern w:val="0"/>
          <w:sz w:val="32"/>
          <w:szCs w:val="32"/>
        </w:rPr>
        <w:t xml:space="preserve"> </w:t>
      </w:r>
      <w:r>
        <w:rPr>
          <w:rFonts w:ascii="Times New Roman" w:hAnsi="仿宋" w:eastAsia="仿宋" w:cs="Times New Roman"/>
          <w:b/>
          <w:bCs/>
          <w:kern w:val="0"/>
          <w:sz w:val="32"/>
          <w:szCs w:val="32"/>
        </w:rPr>
        <w:t>办理刑事诉讼案件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办理刑事诉讼案件可采取计件收费、计时收费方式；担任刑事案件自诉人、被害人的代理人的案件或刑事附带民事诉讼案件，也可以按标的额的比例收费。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担任刑事案件犯罪嫌疑人、被告人的辩护人：</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1</w:t>
      </w:r>
      <w:r>
        <w:rPr>
          <w:rFonts w:ascii="Times New Roman" w:hAnsi="仿宋" w:eastAsia="仿宋" w:cs="Times New Roman"/>
          <w:sz w:val="32"/>
          <w:szCs w:val="32"/>
        </w:rPr>
        <w:t>）侦查阶段（含检察院自侦阶段）：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5</w:t>
      </w:r>
      <w:r>
        <w:rPr>
          <w:rFonts w:ascii="Times New Roman" w:hAnsi="仿宋" w:eastAsia="仿宋" w:cs="Times New Roman"/>
          <w:sz w:val="32"/>
          <w:szCs w:val="32"/>
        </w:rPr>
        <w:t>）发回重审：</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- 15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6</w:t>
      </w:r>
      <w:r>
        <w:rPr>
          <w:rFonts w:ascii="Times New Roman" w:hAnsi="仿宋" w:eastAsia="仿宋" w:cs="Times New Roman"/>
          <w:sz w:val="32"/>
          <w:szCs w:val="32"/>
        </w:rPr>
        <w:t>）代为提起刑事申诉：</w:t>
      </w:r>
      <w:r>
        <w:rPr>
          <w:rFonts w:ascii="Times New Roman" w:hAnsi="Times New Roman" w:eastAsia="仿宋" w:cs="Times New Roman"/>
          <w:sz w:val="32"/>
          <w:szCs w:val="32"/>
        </w:rPr>
        <w:t xml:space="preserve"> 1</w:t>
      </w:r>
      <w:r>
        <w:rPr>
          <w:rFonts w:ascii="Times New Roman" w:hAnsi="仿宋" w:eastAsia="仿宋" w:cs="Times New Roman"/>
          <w:sz w:val="32"/>
          <w:szCs w:val="32"/>
        </w:rPr>
        <w:t>万元</w:t>
      </w:r>
      <w:r>
        <w:rPr>
          <w:rFonts w:ascii="Times New Roman" w:hAnsi="Times New Roman" w:eastAsia="仿宋" w:cs="Times New Roman"/>
          <w:sz w:val="32"/>
          <w:szCs w:val="32"/>
        </w:rPr>
        <w:t>- 15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7</w:t>
      </w:r>
      <w:r>
        <w:rPr>
          <w:rFonts w:ascii="Times New Roman" w:hAnsi="仿宋" w:eastAsia="仿宋" w:cs="Times New Roman"/>
          <w:sz w:val="32"/>
          <w:szCs w:val="32"/>
        </w:rPr>
        <w:t>）再审案件：</w:t>
      </w:r>
      <w:r>
        <w:rPr>
          <w:rFonts w:ascii="Times New Roman" w:hAnsi="Times New Roman" w:eastAsia="仿宋" w:cs="Times New Roman"/>
          <w:sz w:val="32"/>
          <w:szCs w:val="32"/>
        </w:rPr>
        <w:t xml:space="preserve"> 2</w:t>
      </w:r>
      <w:r>
        <w:rPr>
          <w:rFonts w:ascii="Times New Roman" w:hAnsi="仿宋" w:eastAsia="仿宋" w:cs="Times New Roman"/>
          <w:sz w:val="32"/>
          <w:szCs w:val="32"/>
        </w:rPr>
        <w:t>万元</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w:t>
      </w:r>
      <w:r>
        <w:rPr>
          <w:rFonts w:ascii="Times New Roman" w:hAnsi="Times New Roman" w:eastAsia="仿宋" w:cs="Times New Roman"/>
          <w:sz w:val="32"/>
          <w:szCs w:val="32"/>
        </w:rPr>
        <w:t>8</w:t>
      </w:r>
      <w:r>
        <w:rPr>
          <w:rFonts w:ascii="Times New Roman" w:hAnsi="仿宋" w:eastAsia="仿宋" w:cs="Times New Roman"/>
          <w:sz w:val="32"/>
          <w:szCs w:val="32"/>
        </w:rPr>
        <w:t>）死刑复核案件：</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对于重大、疑难、复杂刑事案件，每阶段可合理上浮收费标准，但不得高于该阶段收费标准上限的</w:t>
      </w:r>
      <w:r>
        <w:rPr>
          <w:rFonts w:ascii="Times New Roman" w:hAnsi="Times New Roman" w:eastAsia="仿宋" w:cs="Times New Roman"/>
          <w:sz w:val="32"/>
          <w:szCs w:val="32"/>
        </w:rPr>
        <w:t xml:space="preserve"> 2 </w:t>
      </w:r>
      <w:r>
        <w:rPr>
          <w:rFonts w:ascii="Times New Roman" w:hAnsi="仿宋" w:eastAsia="仿宋" w:cs="Times New Roman"/>
          <w:sz w:val="32"/>
          <w:szCs w:val="32"/>
        </w:rPr>
        <w:t>倍。</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 xml:space="preserve"> 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件，也可按标的额的百分比进行收费（具体收费比例可参照民事案件一审收费比例收取，由委托人与本所协商确定，但律师收取的服务费总金额不得低于相同标的额民事案件一审应当收取的费用）。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既担任刑事案件犯罪嫌疑人、被告人的辩护人，又担任刑事附带民事案件被告方的代理人的，刑事案件部分的收费按上述第</w:t>
      </w:r>
      <w:r>
        <w:rPr>
          <w:rFonts w:ascii="Times New Roman" w:hAnsi="Times New Roman" w:eastAsia="仿宋" w:cs="Times New Roman"/>
          <w:sz w:val="32"/>
          <w:szCs w:val="32"/>
        </w:rPr>
        <w:t>1</w:t>
      </w:r>
      <w:r>
        <w:rPr>
          <w:rFonts w:ascii="Times New Roman" w:hAnsi="仿宋" w:eastAsia="仿宋" w:cs="Times New Roman"/>
          <w:sz w:val="32"/>
          <w:szCs w:val="32"/>
        </w:rPr>
        <w:t>条规定收取；刑事附带民事案件的律师费用按照民事、仲裁案件的标准收取。</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双方协商采用计时收费方式计费的，计时收费的有效工作时间按民事、仲裁案件计时方式计算。</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kern w:val="0"/>
          <w:sz w:val="32"/>
          <w:szCs w:val="32"/>
        </w:rPr>
        <w:t>第十三条</w:t>
      </w:r>
      <w:r>
        <w:rPr>
          <w:rFonts w:ascii="Times New Roman" w:hAnsi="Times New Roman" w:eastAsia="仿宋" w:cs="Times New Roman"/>
          <w:b/>
          <w:bCs/>
          <w:kern w:val="0"/>
          <w:sz w:val="32"/>
          <w:szCs w:val="32"/>
        </w:rPr>
        <w:t xml:space="preserve"> </w:t>
      </w:r>
      <w:r>
        <w:rPr>
          <w:rFonts w:ascii="Times New Roman" w:hAnsi="仿宋" w:eastAsia="仿宋" w:cs="Times New Roman"/>
          <w:b/>
          <w:bCs/>
          <w:kern w:val="0"/>
          <w:sz w:val="32"/>
          <w:szCs w:val="32"/>
        </w:rPr>
        <w:t>代理国家赔偿案件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代理国家赔偿案件可实行计件收费，每件收费不低于</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r>
        <w:rPr>
          <w:rFonts w:ascii="Times New Roman" w:hAnsi="Times New Roman" w:eastAsia="仿宋" w:cs="Times New Roman"/>
          <w:sz w:val="32"/>
          <w:szCs w:val="32"/>
        </w:rPr>
        <w:t xml:space="preserve"> </w:t>
      </w:r>
      <w:r>
        <w:rPr>
          <w:rFonts w:ascii="Times New Roman" w:hAnsi="仿宋" w:eastAsia="仿宋" w:cs="Times New Roman"/>
          <w:sz w:val="32"/>
          <w:szCs w:val="32"/>
        </w:rPr>
        <w:t>；也可按标的额的百分比进行收费（具体收费比例可参照民事案件一审收费比例收取，由委托人与律师事务所协商确定，但律师事务所收取的服务费总金额不得低于相同标的额民事案件一审应当收取的费用）。</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kern w:val="0"/>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kern w:val="0"/>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kern w:val="0"/>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kern w:val="0"/>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全体律师除前述第十六条、第十七条涉及案件外，其他案件收费应严格按本收费标准执行，不得以争揽业务为目的，通过减收或免收律师服务费吸引委托人，进行低价的不正当竞争。</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bookmarkStart w:id="0" w:name="_GoBack"/>
      <w:bookmarkEnd w:id="0"/>
      <w:r>
        <w:rPr>
          <w:rFonts w:ascii="Times New Roman" w:hAnsi="仿宋" w:eastAsia="仿宋" w:cs="Times New Roman"/>
          <w:b/>
          <w:bCs/>
          <w:kern w:val="0"/>
          <w:sz w:val="32"/>
          <w:szCs w:val="32"/>
        </w:rPr>
        <w:t>第十九条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0DF7"/>
    <w:rsid w:val="000A5223"/>
    <w:rsid w:val="000B3680"/>
    <w:rsid w:val="000B6DC8"/>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9686F"/>
    <w:rsid w:val="003B4A86"/>
    <w:rsid w:val="00404C3D"/>
    <w:rsid w:val="004128C2"/>
    <w:rsid w:val="004331D5"/>
    <w:rsid w:val="004918B7"/>
    <w:rsid w:val="00493033"/>
    <w:rsid w:val="004C268B"/>
    <w:rsid w:val="004D1774"/>
    <w:rsid w:val="004D70C4"/>
    <w:rsid w:val="005245C8"/>
    <w:rsid w:val="00557E26"/>
    <w:rsid w:val="00567584"/>
    <w:rsid w:val="00677DBB"/>
    <w:rsid w:val="006C311F"/>
    <w:rsid w:val="006C6CD7"/>
    <w:rsid w:val="006D6BB3"/>
    <w:rsid w:val="006E3611"/>
    <w:rsid w:val="00751D1A"/>
    <w:rsid w:val="007752D3"/>
    <w:rsid w:val="007B2EEE"/>
    <w:rsid w:val="007D09B9"/>
    <w:rsid w:val="008542A3"/>
    <w:rsid w:val="00892619"/>
    <w:rsid w:val="008C65AC"/>
    <w:rsid w:val="008D3B98"/>
    <w:rsid w:val="00912D78"/>
    <w:rsid w:val="00915DD7"/>
    <w:rsid w:val="009928C2"/>
    <w:rsid w:val="009B0D09"/>
    <w:rsid w:val="009B2BF1"/>
    <w:rsid w:val="009C08AA"/>
    <w:rsid w:val="00A0689B"/>
    <w:rsid w:val="00A40DB8"/>
    <w:rsid w:val="00A5775E"/>
    <w:rsid w:val="00A75AA1"/>
    <w:rsid w:val="00B718AA"/>
    <w:rsid w:val="00BB26EC"/>
    <w:rsid w:val="00BF6BC4"/>
    <w:rsid w:val="00C31312"/>
    <w:rsid w:val="00C42A1D"/>
    <w:rsid w:val="00C718EE"/>
    <w:rsid w:val="00CA49FD"/>
    <w:rsid w:val="00CB26F6"/>
    <w:rsid w:val="00CE1660"/>
    <w:rsid w:val="00D0276C"/>
    <w:rsid w:val="00D23FC9"/>
    <w:rsid w:val="00D246FF"/>
    <w:rsid w:val="00D40349"/>
    <w:rsid w:val="00D94AA5"/>
    <w:rsid w:val="00DC11B8"/>
    <w:rsid w:val="00DE701F"/>
    <w:rsid w:val="00E53727"/>
    <w:rsid w:val="00E64635"/>
    <w:rsid w:val="00E7708B"/>
    <w:rsid w:val="00EA5D3A"/>
    <w:rsid w:val="00EF32BA"/>
    <w:rsid w:val="00F00D6F"/>
    <w:rsid w:val="00F618B6"/>
    <w:rsid w:val="00F73074"/>
    <w:rsid w:val="00FB0721"/>
    <w:rsid w:val="00FE2E7F"/>
    <w:rsid w:val="396664A7"/>
    <w:rsid w:val="53992205"/>
    <w:rsid w:val="58F1738C"/>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806</Words>
  <Characters>4598</Characters>
  <Lines>38</Lines>
  <Paragraphs>10</Paragraphs>
  <TotalTime>484</TotalTime>
  <ScaleCrop>false</ScaleCrop>
  <LinksUpToDate>false</LinksUpToDate>
  <CharactersWithSpaces>5394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2024-09-03T04:17:11Z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