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62</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号）及省上相关规定，本会对四川智派律师事务所提交的《四川智派律师事务所律师服务收费标准》已审查完毕，相关内容符合相关规定，本会同意备案人的备案申请，该收费标准自备案之日起至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afterLines="50"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四川智派律师事务所律师服务收费标准</w:t>
      </w:r>
    </w:p>
    <w:p>
      <w:pPr>
        <w:spacing w:line="520" w:lineRule="exact"/>
        <w:ind w:firstLine="640" w:firstLineChars="200"/>
        <w:rPr>
          <w:rFonts w:ascii="Times New Roman" w:hAnsi="Times New Roman" w:eastAsia="仿宋" w:cs="Times New Roman"/>
          <w:b/>
          <w:sz w:val="32"/>
          <w:szCs w:val="32"/>
        </w:rPr>
      </w:pPr>
      <w:r>
        <w:rPr>
          <w:rFonts w:ascii="Times New Roman" w:hAnsi="仿宋" w:eastAsia="仿宋" w:cs="Times New Roman"/>
          <w:sz w:val="32"/>
          <w:szCs w:val="32"/>
        </w:rPr>
        <w:t>为规范本所律师服务收费行为，根据《四川省律师服务收费标准制订指引》的规定，制定本收费标准。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6000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1000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6%-9%</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w:t>
      </w:r>
      <w:r>
        <w:rPr>
          <w:rFonts w:ascii="Times New Roman" w:hAnsi="Times New Roman" w:eastAsia="仿宋" w:cs="Times New Roman"/>
          <w:sz w:val="32"/>
          <w:szCs w:val="32"/>
        </w:rPr>
        <w:t>4%-7%</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2%-5%;</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color w:val="FF0000"/>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30%</w:t>
      </w:r>
      <w:r>
        <w:rPr>
          <w:rFonts w:ascii="Times New Roman" w:hAnsi="仿宋" w:eastAsia="仿宋" w:cs="Times New Roman"/>
          <w:sz w:val="32"/>
          <w:szCs w:val="32"/>
        </w:rPr>
        <w:t>的优惠。同时代理本诉、本请求和反诉、反请求案件的，反诉、反请求按标的额以民事诉讼案件一审阶段的收费标准酌减</w:t>
      </w:r>
      <w:r>
        <w:rPr>
          <w:rFonts w:ascii="Times New Roman" w:hAnsi="Times New Roman" w:eastAsia="仿宋" w:cs="Times New Roman"/>
          <w:sz w:val="32"/>
          <w:szCs w:val="32"/>
        </w:rPr>
        <w:t>20%----30%</w:t>
      </w:r>
      <w:r>
        <w:rPr>
          <w:rFonts w:ascii="Times New Roman" w:hAnsi="仿宋" w:eastAsia="仿宋" w:cs="Times New Roman"/>
          <w:sz w:val="32"/>
          <w:szCs w:val="32"/>
        </w:rPr>
        <w:t>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单独承办的执行案件，根据执行标的额，按一审阶段标准收费；曾承办一审或二审的案件，可按一审阶段收费标准给予不超过</w:t>
      </w:r>
      <w:r>
        <w:rPr>
          <w:rFonts w:ascii="Times New Roman" w:hAnsi="Times New Roman" w:eastAsia="仿宋" w:cs="Times New Roman"/>
          <w:sz w:val="32"/>
          <w:szCs w:val="32"/>
        </w:rPr>
        <w:t>50%</w:t>
      </w:r>
      <w:r>
        <w:rPr>
          <w:rFonts w:ascii="Times New Roman" w:hAnsi="仿宋" w:eastAsia="仿宋" w:cs="Times New Roman"/>
          <w:sz w:val="32"/>
          <w:szCs w:val="32"/>
        </w:rPr>
        <w:t>的优惠收费，代理执行案件也可采用风险代理或计时收费，但按照相关规定，不能采用风险代理的案件除外。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highlight w:val="red"/>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刑事案件包括担任国家公诉案件的辩护人和担任当事人自诉案件的代理人。国家公诉案件可以按刑事诉讼流程进行费，主要分为侦查阶段、审查起诉阶段、审判阶段、申诉阶段、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、侦查阶段、审查起诉阶段、一审阶段、二审阶段，每个阶段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万元；上述阶段同时由本所律师代理的，可给予优惠；</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、重审、申诉、再审，每件每阶段按照</w:t>
      </w:r>
      <w:r>
        <w:rPr>
          <w:rFonts w:ascii="Times New Roman" w:hAnsi="Times New Roman" w:eastAsia="仿宋" w:cs="Times New Roman"/>
          <w:sz w:val="32"/>
          <w:szCs w:val="32"/>
        </w:rPr>
        <w:t>2--30</w:t>
      </w:r>
      <w:r>
        <w:rPr>
          <w:rFonts w:ascii="Times New Roman" w:hAnsi="仿宋" w:eastAsia="仿宋" w:cs="Times New Roman"/>
          <w:sz w:val="32"/>
          <w:szCs w:val="32"/>
        </w:rPr>
        <w:t>万元收取，如上述案件经重审、申诉、再审，又涉及一审、二审阶段及其他阶段的，则每个阶段另行按照本条对应的费用加收；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、案件涉及有财产及其他标的，参照本标准第二章第二节的规定执行。</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6000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不能采取或变相采取风险代理收费的，参照本标准第二章第二节的规定执行。</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3</w:t>
      </w:r>
      <w:r>
        <w:rPr>
          <w:rFonts w:ascii="Times New Roman" w:hAnsi="仿宋" w:eastAsia="仿宋" w:cs="Times New Roman"/>
          <w:sz w:val="32"/>
          <w:szCs w:val="32"/>
        </w:rPr>
        <w:t>倍执行。如果涉及到多语种法律服务的，可以在标准基础上再上浮不超过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第三十四条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仿宋" w:hAnsi="仿宋" w:eastAsia="仿宋" w:cs="方正仿宋_GBK"/>
          <w:sz w:val="32"/>
          <w:szCs w:val="32"/>
        </w:rPr>
      </w:pP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6683"/>
    <w:rsid w:val="001B1280"/>
    <w:rsid w:val="001B2CA9"/>
    <w:rsid w:val="001B4D7F"/>
    <w:rsid w:val="002644D8"/>
    <w:rsid w:val="0026763C"/>
    <w:rsid w:val="00287CA0"/>
    <w:rsid w:val="002A714E"/>
    <w:rsid w:val="002A728B"/>
    <w:rsid w:val="002B64F3"/>
    <w:rsid w:val="002B66A4"/>
    <w:rsid w:val="002E0982"/>
    <w:rsid w:val="002F49BF"/>
    <w:rsid w:val="003517FF"/>
    <w:rsid w:val="003B4A86"/>
    <w:rsid w:val="00404C3D"/>
    <w:rsid w:val="004128C2"/>
    <w:rsid w:val="004C268B"/>
    <w:rsid w:val="004D1774"/>
    <w:rsid w:val="004D70C4"/>
    <w:rsid w:val="005245C8"/>
    <w:rsid w:val="00557E26"/>
    <w:rsid w:val="00567584"/>
    <w:rsid w:val="00603C32"/>
    <w:rsid w:val="00677DBB"/>
    <w:rsid w:val="00690184"/>
    <w:rsid w:val="006C311F"/>
    <w:rsid w:val="006C6CD7"/>
    <w:rsid w:val="006D6BB3"/>
    <w:rsid w:val="00751D1A"/>
    <w:rsid w:val="00766A3E"/>
    <w:rsid w:val="007752D3"/>
    <w:rsid w:val="007B2EEE"/>
    <w:rsid w:val="007D09B9"/>
    <w:rsid w:val="008542A3"/>
    <w:rsid w:val="00892619"/>
    <w:rsid w:val="008C65AC"/>
    <w:rsid w:val="00912D78"/>
    <w:rsid w:val="00915DD7"/>
    <w:rsid w:val="009928C2"/>
    <w:rsid w:val="009B0D09"/>
    <w:rsid w:val="009B2BF1"/>
    <w:rsid w:val="009C08AA"/>
    <w:rsid w:val="00A40DB8"/>
    <w:rsid w:val="00A5775E"/>
    <w:rsid w:val="00A75AA1"/>
    <w:rsid w:val="00B718AA"/>
    <w:rsid w:val="00BB26EC"/>
    <w:rsid w:val="00BF6BC4"/>
    <w:rsid w:val="00C31312"/>
    <w:rsid w:val="00C42A1D"/>
    <w:rsid w:val="00CB26F6"/>
    <w:rsid w:val="00CE1660"/>
    <w:rsid w:val="00D0276C"/>
    <w:rsid w:val="00D23FC9"/>
    <w:rsid w:val="00D246FF"/>
    <w:rsid w:val="00D40349"/>
    <w:rsid w:val="00D94AA5"/>
    <w:rsid w:val="00DC11B8"/>
    <w:rsid w:val="00DE412C"/>
    <w:rsid w:val="00E53727"/>
    <w:rsid w:val="00E64635"/>
    <w:rsid w:val="00E7708B"/>
    <w:rsid w:val="00EA5D3A"/>
    <w:rsid w:val="00EF32BA"/>
    <w:rsid w:val="00F06C88"/>
    <w:rsid w:val="00F618B6"/>
    <w:rsid w:val="00F73074"/>
    <w:rsid w:val="00FB0721"/>
    <w:rsid w:val="00FE2E7F"/>
    <w:rsid w:val="36F55313"/>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qFormat/>
    <w:uiPriority w:val="0"/>
    <w:pPr>
      <w:ind w:left="100" w:leftChars="2500"/>
    </w:pPr>
  </w:style>
  <w:style w:type="paragraph" w:styleId="3">
    <w:name w:val="Balloon Text"/>
    <w:basedOn w:val="1"/>
    <w:link w:val="12"/>
    <w:autoRedefine/>
    <w:qFormat/>
    <w:uiPriority w:val="0"/>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0"/>
    <w:rPr>
      <w:kern w:val="2"/>
      <w:sz w:val="18"/>
      <w:szCs w:val="18"/>
    </w:rPr>
  </w:style>
  <w:style w:type="character" w:customStyle="1" w:styleId="11">
    <w:name w:val="页脚 Char"/>
    <w:basedOn w:val="9"/>
    <w:link w:val="4"/>
    <w:autoRedefine/>
    <w:qFormat/>
    <w:uiPriority w:val="0"/>
    <w:rPr>
      <w:kern w:val="2"/>
      <w:sz w:val="18"/>
      <w:szCs w:val="18"/>
    </w:rPr>
  </w:style>
  <w:style w:type="character" w:customStyle="1" w:styleId="12">
    <w:name w:val="批注框文本 Char"/>
    <w:basedOn w:val="9"/>
    <w:link w:val="3"/>
    <w:autoRedefine/>
    <w:qFormat/>
    <w:uiPriority w:val="0"/>
    <w:rPr>
      <w:kern w:val="2"/>
      <w:sz w:val="18"/>
      <w:szCs w:val="18"/>
    </w:rPr>
  </w:style>
  <w:style w:type="character" w:customStyle="1" w:styleId="13">
    <w:name w:val="日期 Char"/>
    <w:basedOn w:val="9"/>
    <w:link w:val="2"/>
    <w:autoRedefine/>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725</Words>
  <Characters>4133</Characters>
  <Lines>34</Lines>
  <Paragraphs>9</Paragraphs>
  <TotalTime>487</TotalTime>
  <ScaleCrop>false</ScaleCrop>
  <LinksUpToDate>false</LinksUpToDate>
  <CharactersWithSpaces>4849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2024-09-03T04:08:38Z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